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Socioeconomic Challenges of AI-Drafted Decision Records: Can Expert Reviewers Detect Unsupported Conclusions?</w:t>
      </w:r>
    </w:p>
    <w:p>
      <w:pPr>
        <w:pStyle w:val="AuthorLine"/>
      </w:pPr>
      <w:r>
        <w:rPr>
          <w:rFonts w:ascii="Cambria" w:hAnsi="Cambria"/>
          <w:b/>
          <w:sz w:val="18"/>
        </w:rPr>
        <w:t>Phillip Wikes</w:t>
      </w:r>
      <w:r>
        <w:rPr>
          <w:rFonts w:ascii="Cambria" w:hAnsi="Cambria"/>
          <w:sz w:val="18"/>
        </w:rPr>
        <w:t xml:space="preserve"> (corresponding author, info@jrsstandard.com), Independent Researcher. ORCID: 0009-0009-7230-3661</w:t>
      </w:r>
    </w:p>
    <w:p>
      <w:pPr>
        <w:pStyle w:val="AuthorLine"/>
      </w:pPr>
      <w:r>
        <w:rPr>
          <w:rFonts w:ascii="Cambria" w:hAnsi="Cambria"/>
          <w:b/>
          <w:sz w:val="18"/>
        </w:rPr>
        <w:t>Ubayet Hossain, FRM</w:t>
      </w:r>
      <w:r>
        <w:rPr>
          <w:rFonts w:ascii="Cambria" w:hAnsi="Cambria"/>
          <w:sz w:val="18"/>
        </w:rPr>
        <w:t>, Independent Financial Risk &amp; Model Validation Professional. ORCID: 0009-0001-5304-2170</w:t>
      </w:r>
    </w:p>
    <w:p>
      <w:pPr>
        <w:pStyle w:val="AuthorLine"/>
      </w:pPr>
      <w:r>
        <w:rPr>
          <w:rFonts w:ascii="Cambria" w:hAnsi="Cambria"/>
          <w:sz w:val="18"/>
        </w:rPr>
        <w:t>Type of manuscript: research paper</w:t>
      </w:r>
    </w:p>
    <w:p>
      <w:pPr>
        <w:pStyle w:val="AbstractText"/>
        <w:jc w:val="both"/>
      </w:pPr>
      <w:r>
        <w:rPr>
          <w:rFonts w:ascii="Cambria" w:hAnsi="Cambria"/>
          <w:b/>
          <w:sz w:val="20"/>
        </w:rPr>
        <w:t>Abstract:</w:t>
      </w:r>
      <w:r>
        <w:rPr>
          <w:rFonts w:ascii="Cambria" w:hAnsi="Cambria"/>
          <w:sz w:val="20"/>
        </w:rPr>
        <w:t xml:space="preserve"> </w:t>
      </w:r>
      <w:r>
        <w:rPr>
          <w:rFonts w:ascii="Cambria" w:hAnsi="Cambria"/>
          <w:i/>
          <w:sz w:val="20"/>
        </w:rPr>
        <w:t>Employers, public agencies and regulated firms now use generative artificial intelligence (AI)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Many institutions rely on a human reviewer to stop weak records before they are finalised, and recent regulation assumes this oversight works. Research has mostly taken that oversight for granted. This study measures the overseers. It asks whether expert reviewers can tell supported from unsupported conclusions in AI-drafted decision records, how far individual reviewers differ, and whether they agree closely enough for one review to be trusted. In a pre-registered study, sixteen credentialed experts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and even the lower end of the confidence interval cleared that target;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rFonts w:ascii="Cambria" w:hAnsi="Cambria"/>
          <w:b/>
          <w:sz w:val="16"/>
        </w:rPr>
        <w:t>Keywords:</w:t>
      </w:r>
      <w:r>
        <w:rPr>
          <w:rFonts w:ascii="Cambria" w:hAnsi="Cambria"/>
          <w:sz w:val="16"/>
        </w:rPr>
        <w:t xml:space="preserve"> accountability; administrative justice; human oversight; inter-rater reliability; large language models; public trust; regulatory compliance; transparency.</w:t>
      </w:r>
    </w:p>
    <w:p>
      <w:pPr>
        <w:pStyle w:val="KeywordsText"/>
      </w:pPr>
      <w:r>
        <w:rPr>
          <w:rFonts w:ascii="Cambria" w:hAnsi="Cambria"/>
          <w:b/>
          <w:sz w:val="16"/>
        </w:rPr>
        <w:t>JEL Classification:</w:t>
      </w:r>
      <w:r>
        <w:rPr>
          <w:rFonts w:ascii="Cambria" w:hAnsi="Cambria"/>
          <w:sz w:val="16"/>
        </w:rPr>
        <w:t xml:space="preserve"> D73; D83; H83; J53; K23; M42; O33.</w:t>
      </w:r>
    </w:p>
    <w:p>
      <w:pPr>
        <w:pStyle w:val="ARPLevel1Style"/>
      </w:pPr>
      <w:r>
        <w:t>INTRODUCTION</w:t>
      </w:r>
    </w:p>
    <w:p>
      <w:pPr>
        <w:spacing w:line="276" w:lineRule="auto" w:before="0" w:after="0"/>
        <w:ind w:firstLine="283"/>
        <w:jc w:val="both"/>
      </w:pPr>
      <w:r>
        <w:rPr>
          <w:rFonts w:ascii="Cambria" w:hAnsi="Cambria"/>
          <w:sz w:val="2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spacing w:line="276" w:lineRule="auto" w:before="0" w:after="0"/>
        <w:ind w:firstLine="283"/>
        <w:jc w:val="both"/>
      </w:pPr>
      <w:r>
        <w:rPr>
          <w:rFonts w:ascii="Cambria" w:hAnsi="Cambria"/>
          <w:sz w:val="2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spacing w:line="276" w:lineRule="auto" w:before="0" w:after="0"/>
        <w:ind w:firstLine="283"/>
        <w:jc w:val="both"/>
      </w:pPr>
      <w:r>
        <w:rPr>
          <w:rFonts w:ascii="Cambria" w:hAnsi="Cambria"/>
          <w:sz w:val="20"/>
        </w:rPr>
        <w:t>Generative artificial intelligence (AI) has changed how these records are written. Organisations now use large language models to draft decision memoranda, case summaries and determination letters, often to save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can remove exactly those signals.</w:t>
      </w:r>
    </w:p>
    <w:p>
      <w:pPr>
        <w:spacing w:line="276" w:lineRule="auto" w:before="0" w:after="0"/>
        <w:ind w:firstLine="283"/>
        <w:jc w:val="both"/>
      </w:pPr>
      <w:r>
        <w:rPr>
          <w:rFonts w:ascii="Cambria" w:hAnsi="Cambria"/>
          <w:sz w:val="20"/>
        </w:rPr>
        <w:t>A common safeguard is a person. A supervisor, compliance officer or second reader checks the draft before it becomes final, and regulation increasingly takes such oversight for granted (European Union,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spacing w:line="276" w:lineRule="auto" w:before="0" w:after="0"/>
        <w:ind w:firstLine="283"/>
        <w:jc w:val="both"/>
      </w:pPr>
      <w:r>
        <w:rPr>
          <w:rFonts w:ascii="Cambria" w:hAnsi="Cambria"/>
          <w:sz w:val="20"/>
        </w:rPr>
        <w:t>This paper reports a pre-registered study of that problem and addresses three research questions:</w:t>
      </w:r>
    </w:p>
    <w:p>
      <w:pPr>
        <w:spacing w:line="276" w:lineRule="auto" w:before="0" w:after="0"/>
        <w:ind w:left="283" w:firstLine="0"/>
        <w:jc w:val="both"/>
      </w:pPr>
      <w:r>
        <w:rPr>
          <w:rFonts w:ascii="Cambria" w:hAnsi="Cambria"/>
          <w:sz w:val="20"/>
        </w:rPr>
        <w:t>1. Can independent expert reviewers distinguish supported from unsupported conclusions in AI-drafted decision records, judged against a classification fixed in advance?</w:t>
      </w:r>
    </w:p>
    <w:p>
      <w:pPr>
        <w:spacing w:line="276" w:lineRule="auto" w:before="0" w:after="0"/>
        <w:ind w:left="283" w:firstLine="0"/>
        <w:jc w:val="both"/>
      </w:pPr>
      <w:r>
        <w:rPr>
          <w:rFonts w:ascii="Cambria" w:hAnsi="Cambria"/>
          <w:sz w:val="20"/>
        </w:rPr>
        <w:t>2. How much does that ability vary between individual reviewers, and does the variation come from the reviewers or from the records?</w:t>
      </w:r>
    </w:p>
    <w:p>
      <w:pPr>
        <w:spacing w:line="276" w:lineRule="auto" w:before="0" w:after="0"/>
        <w:ind w:left="283" w:firstLine="0"/>
        <w:jc w:val="both"/>
      </w:pPr>
      <w:r>
        <w:rPr>
          <w:rFonts w:ascii="Cambria" w:hAnsi="Cambria"/>
          <w:sz w:val="20"/>
        </w:rPr>
        <w:t>3. Do reviewers using a structured review agree with each other closely enough for a single judgment to be relied on?</w:t>
      </w:r>
    </w:p>
    <w:p>
      <w:pPr>
        <w:spacing w:line="276" w:lineRule="auto" w:before="0" w:after="0"/>
        <w:ind w:firstLine="283"/>
        <w:jc w:val="both"/>
      </w:pPr>
      <w:r>
        <w:rPr>
          <w:rFonts w:ascii="Cambria" w:hAnsi="Cambria"/>
          <w:sz w:val="20"/>
        </w:rPr>
        <w:t>The answers are mixed in a way that matters for practice. A panel of experts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t>LITERATURE REVIEW</w:t>
      </w:r>
    </w:p>
    <w:p>
      <w:pPr>
        <w:pStyle w:val="ARPLevel2Style"/>
      </w:pPr>
      <w:r>
        <w:t>Accountability Depends on the Record</w:t>
      </w:r>
    </w:p>
    <w:p>
      <w:pPr>
        <w:spacing w:line="276" w:lineRule="auto" w:before="0" w:after="0"/>
        <w:ind w:firstLine="283"/>
        <w:jc w:val="both"/>
      </w:pPr>
      <w:r>
        <w:rPr>
          <w:rFonts w:ascii="Cambria" w:hAnsi="Cambria"/>
          <w:sz w:val="20"/>
        </w:rPr>
        <w:t>Bovens (2007) describes accountability as a relationship in which an actor must explain and justify conduct to a forum that can ask questions, pass judgment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judgment. A record that loses its own reasoning undermines both the justification Mashaw emphasises and the legitimacy Tyler describes.</w:t>
      </w:r>
    </w:p>
    <w:p>
      <w:pPr>
        <w:spacing w:line="276" w:lineRule="auto" w:before="0" w:after="0"/>
        <w:ind w:firstLine="283"/>
        <w:jc w:val="both"/>
      </w:pPr>
      <w:r>
        <w:rPr>
          <w:rFonts w:ascii="Cambria" w:hAnsi="Cambria"/>
          <w:sz w:val="2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t>Artificial Intelligence, Automation and the Opacity of Decisions</w:t>
      </w:r>
    </w:p>
    <w:p>
      <w:pPr>
        <w:spacing w:line="276" w:lineRule="auto" w:before="0" w:after="0"/>
        <w:ind w:firstLine="283"/>
        <w:jc w:val="both"/>
      </w:pPr>
      <w:r>
        <w:rPr>
          <w:rFonts w:ascii="Cambria" w:hAnsi="Cambria"/>
          <w:sz w:val="2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spacing w:line="276" w:lineRule="auto" w:before="0" w:after="0"/>
        <w:ind w:firstLine="283"/>
        <w:jc w:val="both"/>
      </w:pPr>
      <w:r>
        <w:rPr>
          <w:rFonts w:ascii="Cambria" w:hAnsi="Cambria"/>
          <w:sz w:val="2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spacing w:line="276" w:lineRule="auto" w:before="0" w:after="0"/>
        <w:ind w:firstLine="283"/>
        <w:jc w:val="both"/>
      </w:pPr>
      <w:r>
        <w:rPr>
          <w:rFonts w:ascii="Cambria" w:hAnsi="Cambria"/>
          <w:sz w:val="2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t>Measuring Records and Reviewers</w:t>
      </w:r>
    </w:p>
    <w:p>
      <w:pPr>
        <w:spacing w:line="276" w:lineRule="auto" w:before="0" w:after="0"/>
        <w:ind w:firstLine="283"/>
        <w:jc w:val="both"/>
      </w:pPr>
      <w:r>
        <w:rPr>
          <w:rFonts w:ascii="Cambria" w:hAnsi="Cambria"/>
          <w:sz w:val="2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spacing w:line="276" w:lineRule="auto" w:before="0" w:after="0"/>
        <w:ind w:firstLine="283"/>
        <w:jc w:val="both"/>
      </w:pPr>
      <w:r>
        <w:rPr>
          <w:rFonts w:ascii="Cambria" w:hAnsi="Cambria"/>
          <w:sz w:val="2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t>Research Gap</w:t>
      </w:r>
    </w:p>
    <w:p>
      <w:pPr>
        <w:spacing w:line="276" w:lineRule="auto" w:before="0" w:after="0"/>
        <w:ind w:firstLine="283"/>
        <w:jc w:val="both"/>
      </w:pPr>
      <w:r>
        <w:rPr>
          <w:rFonts w:ascii="Cambria" w:hAnsi="Cambria"/>
          <w:sz w:val="2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The underlying idea, that a record should allow its decision to be reconstructed, is long established in administrative law and audit practice. To the authors' knowledge, however, it has not previously been measured as a property of the individual record with a stated instrument, a stated scale and reported detection and agreement statistics. This study takes that step. This study supplies initial evidence on those questions for records drafted with generative artificial intelligence.</w:t>
      </w:r>
    </w:p>
    <w:p>
      <w:pPr>
        <w:pStyle w:val="ARPLevel1Style"/>
      </w:pPr>
      <w:r>
        <w:t>METHODOLOGY</w:t>
      </w:r>
    </w:p>
    <w:p>
      <w:pPr>
        <w:pStyle w:val="ARPLevel2Style"/>
      </w:pPr>
      <w:r>
        <w:t>Definitions</w:t>
      </w:r>
    </w:p>
    <w:p>
      <w:pPr>
        <w:spacing w:line="276" w:lineRule="auto" w:before="0" w:after="0"/>
        <w:ind w:firstLine="283"/>
        <w:jc w:val="both"/>
      </w:pPr>
      <w:r>
        <w:rPr>
          <w:rFonts w:ascii="Cambria" w:hAnsi="Cambria"/>
          <w:sz w:val="2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spacing w:line="276" w:lineRule="auto" w:before="0" w:after="0"/>
        <w:ind w:firstLine="283"/>
        <w:jc w:val="both"/>
      </w:pPr>
      <w:r>
        <w:rPr>
          <w:rFonts w:ascii="Cambria" w:hAnsi="Cambria"/>
          <w:sz w:val="2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t>Design and Registration</w:t>
      </w:r>
    </w:p>
    <w:p>
      <w:pPr>
        <w:spacing w:line="276" w:lineRule="auto" w:before="0" w:after="0"/>
        <w:ind w:firstLine="283"/>
        <w:jc w:val="both"/>
      </w:pPr>
      <w:r>
        <w:rPr>
          <w:rFonts w:ascii="Cambria" w:hAnsi="Cambria"/>
          <w:sz w:val="20"/>
        </w:rPr>
        <w:t>The study measured detection. Independent reviewers classified a balanced corpus of constructed records, and their answers were scored against a reference classification fixed beforehand. The protocol, analysis plan and decision thresholds were fixed and time-stamped on 6 July 2026, before the reference classification was verified and before any accuracy analysis was run; the dated documents are available from the authors. Data collection closed on 15 August 2026. The design has no comparison arm. A separate randomised study, using the same records with different participants, compares review with and without a structured instrument and is reported elsewhere.</w:t>
      </w:r>
    </w:p>
    <w:p>
      <w:pPr>
        <w:pStyle w:val="ARPLevel2Style"/>
      </w:pPr>
      <w:r>
        <w:t>Corpus</w:t>
      </w:r>
    </w:p>
    <w:p>
      <w:pPr>
        <w:spacing w:line="276" w:lineRule="auto" w:before="0" w:after="0"/>
        <w:ind w:firstLine="283"/>
        <w:jc w:val="both"/>
      </w:pPr>
      <w:r>
        <w:rPr>
          <w:rFonts w:ascii="Cambria" w:hAnsi="Cambria"/>
          <w:sz w:val="2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spacing w:line="276" w:lineRule="auto" w:before="0" w:after="0"/>
        <w:ind w:firstLine="283"/>
        <w:jc w:val="both"/>
      </w:pPr>
      <w:r>
        <w:rPr>
          <w:rFonts w:ascii="Cambria" w:hAnsi="Cambria"/>
          <w:sz w:val="2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t>Reference Classification</w:t>
      </w:r>
    </w:p>
    <w:p>
      <w:pPr>
        <w:spacing w:line="276" w:lineRule="auto" w:before="0" w:after="0"/>
        <w:ind w:firstLine="283"/>
        <w:jc w:val="both"/>
      </w:pPr>
      <w:r>
        <w:rPr>
          <w:rFonts w:ascii="Cambria" w:hAnsi="Cambria"/>
          <w:sz w:val="2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spacing w:line="276" w:lineRule="auto" w:before="0" w:after="0"/>
        <w:ind w:firstLine="283"/>
        <w:jc w:val="both"/>
      </w:pPr>
      <w:r>
        <w:rPr>
          <w:rFonts w:ascii="Cambria" w:hAnsi="Cambria"/>
          <w:sz w:val="2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t>Participants</w:t>
      </w:r>
    </w:p>
    <w:p>
      <w:pPr>
        <w:spacing w:line="276" w:lineRule="auto" w:before="0" w:after="0"/>
        <w:ind w:firstLine="283"/>
        <w:jc w:val="both"/>
      </w:pPr>
      <w:r>
        <w:rPr>
          <w:rFonts w:ascii="Cambria" w:hAnsi="Cambria"/>
          <w:sz w:val="20"/>
        </w:rPr>
        <w:t>All reviewers were credentialed experts,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 The panel was recruited internationally on purpose. Reviewers from different legal traditions and professions differ in what they expect a record to state and what they assume a reader already knows, and an unsupported record relies on exactly those assumptions to look complete. A panel drawn from several systems is less likely to share one blind spot, although, as the Limitations note, it cannot establish that the results hold equally in every setting.</w:t>
      </w:r>
    </w:p>
    <w:p>
      <w:pPr>
        <w:pStyle w:val="ARPLevel2Style"/>
      </w:pPr>
      <w:r>
        <w:t>Analysis</w:t>
      </w:r>
    </w:p>
    <w:p>
      <w:pPr>
        <w:spacing w:line="276" w:lineRule="auto" w:before="0" w:after="0"/>
        <w:ind w:firstLine="283"/>
        <w:jc w:val="both"/>
      </w:pPr>
      <w:r>
        <w:rPr>
          <w:rFonts w:ascii="Cambria" w:hAnsi="Cambria"/>
          <w:sz w:val="2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spacing w:line="276" w:lineRule="auto" w:before="0" w:after="0"/>
        <w:ind w:firstLine="283"/>
        <w:jc w:val="both"/>
      </w:pPr>
      <w:r>
        <w:rPr>
          <w:rFonts w:ascii="Cambria" w:hAnsi="Cambria"/>
          <w:sz w:val="2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spacing w:line="276" w:lineRule="auto" w:before="0" w:after="0"/>
        <w:ind w:firstLine="283"/>
        <w:jc w:val="both"/>
      </w:pPr>
      <w:r>
        <w:rPr>
          <w:rFonts w:ascii="Cambria" w:hAnsi="Cambria"/>
          <w:sz w:val="2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t>Reliability Analysis</w:t>
      </w:r>
    </w:p>
    <w:p>
      <w:pPr>
        <w:spacing w:line="276" w:lineRule="auto" w:before="0" w:after="0"/>
        <w:ind w:firstLine="283"/>
        <w:jc w:val="both"/>
      </w:pPr>
      <w:r>
        <w:rPr>
          <w:rFonts w:ascii="Cambria" w:hAnsi="Cambria"/>
          <w:sz w:val="2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All raters were experienced practitioners. The two groups are reported separately because they arrived by different routes, which says nothing about their expertise.</w:t>
      </w:r>
    </w:p>
    <w:p>
      <w:pPr>
        <w:spacing w:line="276" w:lineRule="auto" w:before="0" w:after="0"/>
        <w:ind w:firstLine="283"/>
        <w:jc w:val="both"/>
      </w:pPr>
      <w:r>
        <w:rPr>
          <w:rFonts w:ascii="Cambria" w:hAnsi="Cambria"/>
          <w:sz w:val="2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t>RESULTS</w:t>
      </w:r>
    </w:p>
    <w:p>
      <w:pPr>
        <w:pStyle w:val="ARPLevel2Style"/>
      </w:pPr>
      <w:r>
        <w:t>Panel Detection</w:t>
      </w:r>
    </w:p>
    <w:p>
      <w:pPr>
        <w:spacing w:line="276" w:lineRule="auto" w:before="0" w:after="0"/>
        <w:ind w:firstLine="283"/>
        <w:jc w:val="both"/>
      </w:pPr>
      <w:r>
        <w:rPr>
          <w:rFonts w:ascii="Cambria" w:hAnsi="Cambria"/>
          <w:sz w:val="20"/>
        </w:rPr>
        <w:t>Table 1 gives the main result. Both parts of the registered detection criterion were met.</w:t>
      </w:r>
    </w:p>
    <w:p>
      <w:pPr>
        <w:pStyle w:val="ARPTitleoftheFiguresandTablesStyle"/>
        <w:jc w:val="center"/>
      </w:pPr>
      <w:r>
        <w:rPr>
          <w:b/>
        </w:rPr>
        <w:t>Table 1. Detection of supported and unsupported records by the reviewer panel</w:t>
      </w:r>
    </w:p>
    <w:tbl>
      <w:tblPr>
        <w:tblStyle w:val="TableGrid"/>
        <w:tblLook w:firstColumn="1" w:firstRow="1" w:lastColumn="0" w:lastRow="0" w:noHBand="0" w:noVBand="1" w:val="04A0"/>
        <w:tblW w:type="pct" w:w="5000"/>
      </w:tblPr>
      <w:tblGrid>
        <w:gridCol w:w="4706"/>
        <w:gridCol w:w="4706"/>
      </w:tblGrid>
      <w:tr>
        <w:trPr>
          <w:tblHeader w:val="true"/>
        </w:trPr>
        <w:tc>
          <w:tcPr>
            <w:tcW w:type="dxa" w:w="4706"/>
          </w:tcPr>
          <w:p>
            <w:pPr>
              <w:pStyle w:val="Compact"/>
              <w:jc w:val="left"/>
            </w:pPr>
            <w:r>
              <w:rPr>
                <w:rFonts w:ascii="Cambria" w:hAnsi="Cambria"/>
                <w:b/>
                <w:sz w:val="18"/>
              </w:rPr>
              <w:t>Measure</w:t>
            </w:r>
          </w:p>
        </w:tc>
        <w:tc>
          <w:tcPr>
            <w:tcW w:type="dxa" w:w="4706"/>
          </w:tcPr>
          <w:p>
            <w:pPr>
              <w:pStyle w:val="Compact"/>
              <w:jc w:val="center"/>
            </w:pPr>
            <w:r>
              <w:rPr>
                <w:rFonts w:ascii="Cambria" w:hAnsi="Cambria"/>
                <w:b/>
                <w:sz w:val="18"/>
              </w:rPr>
              <w:t>Result</w:t>
            </w:r>
          </w:p>
        </w:tc>
      </w:tr>
      <w:tr>
        <w:tc>
          <w:tcPr>
            <w:tcW w:type="dxa" w:w="4706"/>
          </w:tcPr>
          <w:p>
            <w:pPr>
              <w:pStyle w:val="Compact"/>
              <w:jc w:val="left"/>
            </w:pPr>
            <w:r>
              <w:rPr>
                <w:rFonts w:ascii="Cambria" w:hAnsi="Cambria"/>
                <w:sz w:val="18"/>
              </w:rPr>
              <w:t>Mean reviewer-level accuracy</w:t>
            </w:r>
          </w:p>
        </w:tc>
        <w:tc>
          <w:tcPr>
            <w:tcW w:type="dxa" w:w="4706"/>
          </w:tcPr>
          <w:p>
            <w:pPr>
              <w:pStyle w:val="Compact"/>
              <w:jc w:val="center"/>
            </w:pPr>
            <w:r>
              <w:rPr>
                <w:rFonts w:ascii="Cambria" w:hAnsi="Cambria"/>
                <w:sz w:val="18"/>
              </w:rPr>
              <w:t>83.9%</w:t>
            </w:r>
          </w:p>
        </w:tc>
      </w:tr>
      <w:tr>
        <w:tc>
          <w:tcPr>
            <w:tcW w:type="dxa" w:w="4706"/>
          </w:tcPr>
          <w:p>
            <w:pPr>
              <w:pStyle w:val="Compact"/>
              <w:jc w:val="left"/>
            </w:pPr>
            <w:r>
              <w:rPr>
                <w:rFonts w:ascii="Cambria" w:hAnsi="Cambria"/>
                <w:sz w:val="18"/>
              </w:rPr>
              <w:t>95% confidence interval (participant level, n = 16)</w:t>
            </w:r>
          </w:p>
        </w:tc>
        <w:tc>
          <w:tcPr>
            <w:tcW w:type="dxa" w:w="4706"/>
          </w:tcPr>
          <w:p>
            <w:pPr>
              <w:pStyle w:val="Compact"/>
              <w:jc w:val="center"/>
            </w:pPr>
            <w:r>
              <w:rPr>
                <w:rFonts w:ascii="Cambria" w:hAnsi="Cambria"/>
                <w:sz w:val="18"/>
              </w:rPr>
              <w:t>72.7 to 95.1</w:t>
            </w:r>
          </w:p>
        </w:tc>
      </w:tr>
      <w:tr>
        <w:tc>
          <w:tcPr>
            <w:tcW w:type="dxa" w:w="4706"/>
          </w:tcPr>
          <w:p>
            <w:pPr>
              <w:pStyle w:val="Compact"/>
              <w:jc w:val="left"/>
            </w:pPr>
            <w:r>
              <w:rPr>
                <w:rFonts w:ascii="Cambria" w:hAnsi="Cambria"/>
                <w:sz w:val="18"/>
              </w:rPr>
              <w:t>Sensitivity (unsupported records correctly identified)</w:t>
            </w:r>
          </w:p>
        </w:tc>
        <w:tc>
          <w:tcPr>
            <w:tcW w:type="dxa" w:w="4706"/>
          </w:tcPr>
          <w:p>
            <w:pPr>
              <w:pStyle w:val="Compact"/>
              <w:jc w:val="center"/>
            </w:pPr>
            <w:r>
              <w:rPr>
                <w:rFonts w:ascii="Cambria" w:hAnsi="Cambria"/>
                <w:sz w:val="18"/>
              </w:rPr>
              <w:t>87.0%</w:t>
            </w:r>
          </w:p>
        </w:tc>
      </w:tr>
      <w:tr>
        <w:tc>
          <w:tcPr>
            <w:tcW w:type="dxa" w:w="4706"/>
          </w:tcPr>
          <w:p>
            <w:pPr>
              <w:pStyle w:val="Compact"/>
              <w:jc w:val="left"/>
            </w:pPr>
            <w:r>
              <w:rPr>
                <w:rFonts w:ascii="Cambria" w:hAnsi="Cambria"/>
                <w:sz w:val="18"/>
              </w:rPr>
              <w:t>Specificity (supported records correctly identified)</w:t>
            </w:r>
          </w:p>
        </w:tc>
        <w:tc>
          <w:tcPr>
            <w:tcW w:type="dxa" w:w="4706"/>
          </w:tcPr>
          <w:p>
            <w:pPr>
              <w:pStyle w:val="Compact"/>
              <w:jc w:val="center"/>
            </w:pPr>
            <w:r>
              <w:rPr>
                <w:rFonts w:ascii="Cambria" w:hAnsi="Cambria"/>
                <w:sz w:val="18"/>
              </w:rPr>
              <w:t>80.7%</w:t>
            </w:r>
          </w:p>
        </w:tc>
      </w:tr>
      <w:tr>
        <w:tc>
          <w:tcPr>
            <w:tcW w:type="dxa" w:w="4706"/>
          </w:tcPr>
          <w:p>
            <w:pPr>
              <w:pStyle w:val="Compact"/>
              <w:jc w:val="left"/>
            </w:pPr>
            <w:r>
              <w:rPr>
                <w:rFonts w:ascii="Cambria" w:hAnsi="Cambria"/>
                <w:sz w:val="18"/>
              </w:rPr>
              <w:t>Registered criterion: point estimate at least 70%</w:t>
            </w:r>
          </w:p>
        </w:tc>
        <w:tc>
          <w:tcPr>
            <w:tcW w:type="dxa" w:w="4706"/>
          </w:tcPr>
          <w:p>
            <w:pPr>
              <w:pStyle w:val="Compact"/>
              <w:jc w:val="center"/>
            </w:pPr>
            <w:r>
              <w:rPr>
                <w:rFonts w:ascii="Cambria" w:hAnsi="Cambria"/>
                <w:sz w:val="18"/>
              </w:rPr>
              <w:t>Met</w:t>
            </w:r>
          </w:p>
        </w:tc>
      </w:tr>
      <w:tr>
        <w:tc>
          <w:tcPr>
            <w:tcW w:type="dxa" w:w="4706"/>
          </w:tcPr>
          <w:p>
            <w:pPr>
              <w:pStyle w:val="Compact"/>
              <w:jc w:val="left"/>
            </w:pPr>
            <w:r>
              <w:rPr>
                <w:rFonts w:ascii="Cambria" w:hAnsi="Cambria"/>
                <w:sz w:val="18"/>
              </w:rPr>
              <w:t>Registered criterion: lower bound above 50%</w:t>
            </w:r>
          </w:p>
        </w:tc>
        <w:tc>
          <w:tcPr>
            <w:tcW w:type="dxa" w:w="4706"/>
          </w:tcPr>
          <w:p>
            <w:pPr>
              <w:pStyle w:val="Compact"/>
              <w:jc w:val="center"/>
            </w:pPr>
            <w:r>
              <w:rPr>
                <w:rFonts w:ascii="Cambria" w:hAnsi="Cambria"/>
                <w:sz w:val="18"/>
              </w:rPr>
              <w:t>Met</w:t>
            </w:r>
          </w:p>
        </w:tc>
      </w:tr>
    </w:tbl>
    <w:p>
      <w:pPr>
        <w:pStyle w:val="ARPSourceandNotesStyle"/>
        <w:jc w:val="center"/>
      </w:pPr>
      <w:r>
        <w:rPr>
          <w:rFonts w:ascii="Cambria" w:hAnsi="Cambria"/>
          <w:i/>
          <w:sz w:val="16"/>
        </w:rPr>
        <w:t>Source: developed by the authors from 384 judgments by 16 reviewers on 24 records.</w:t>
      </w:r>
    </w:p>
    <w:p>
      <w:pPr>
        <w:spacing w:line="276" w:lineRule="auto" w:before="0" w:after="0"/>
        <w:ind w:firstLine="283"/>
        <w:jc w:val="both"/>
      </w:pPr>
      <w:r>
        <w:rPr>
          <w:rFonts w:ascii="Cambria" w:hAnsi="Cambria"/>
          <w:sz w:val="20"/>
        </w:rPr>
        <w:t>The lower end of the confidence interval, 72.7 percent, lies above the 70 percent target as well as above chance, so the panel's accuracy exceeds the target even at the lower end of its 95 percent confidence interval.</w:t>
      </w:r>
    </w:p>
    <w:p>
      <w:pPr>
        <w:spacing w:line="276" w:lineRule="auto" w:before="0" w:after="0"/>
        <w:ind w:firstLine="283"/>
        <w:jc w:val="both"/>
      </w:pPr>
      <w:r>
        <w:rPr>
          <w:rFonts w:ascii="Cambria" w:hAnsi="Cambria"/>
          <w:sz w:val="2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t>Individual Reviewers</w:t>
      </w:r>
    </w:p>
    <w:p>
      <w:pPr>
        <w:spacing w:line="276" w:lineRule="auto" w:before="0" w:after="0"/>
        <w:ind w:firstLine="283"/>
        <w:jc w:val="both"/>
      </w:pPr>
      <w:r>
        <w:rPr>
          <w:rFonts w:ascii="Cambria" w:hAnsi="Cambria"/>
          <w:sz w:val="20"/>
        </w:rPr>
        <w:t>Behind the panel average, individual performance was very uneven (Table 2).</w:t>
      </w:r>
    </w:p>
    <w:p>
      <w:pPr>
        <w:pStyle w:val="ARPTitleoftheFiguresandTablesStyle"/>
        <w:jc w:val="center"/>
      </w:pPr>
      <w:r>
        <w:rPr>
          <w:b/>
        </w:rPr>
        <w:t>Table 2. Variation in performance between individual reviewers</w:t>
      </w:r>
    </w:p>
    <w:tbl>
      <w:tblPr>
        <w:tblStyle w:val="TableGrid"/>
        <w:tblLook w:firstColumn="1" w:firstRow="1" w:lastColumn="0" w:lastRow="0" w:noHBand="0" w:noVBand="1" w:val="04A0"/>
        <w:tblW w:type="pct" w:w="5000"/>
      </w:tblPr>
      <w:tblGrid>
        <w:gridCol w:w="1882"/>
        <w:gridCol w:w="1882"/>
        <w:gridCol w:w="1882"/>
        <w:gridCol w:w="1882"/>
        <w:gridCol w:w="1882"/>
      </w:tblGrid>
      <w:tr>
        <w:trPr>
          <w:tblHeader w:val="true"/>
        </w:trPr>
        <w:tc>
          <w:tcPr>
            <w:tcW w:type="dxa" w:w="1882"/>
          </w:tcPr>
          <w:p>
            <w:pPr>
              <w:pStyle w:val="Compact"/>
              <w:jc w:val="left"/>
            </w:pPr>
            <w:r>
              <w:rPr>
                <w:rFonts w:ascii="Cambria" w:hAnsi="Cambria"/>
                <w:b/>
                <w:sz w:val="18"/>
              </w:rPr>
              <w:t>Measure</w:t>
            </w:r>
          </w:p>
        </w:tc>
        <w:tc>
          <w:tcPr>
            <w:tcW w:type="dxa" w:w="1882"/>
          </w:tcPr>
          <w:p>
            <w:pPr>
              <w:pStyle w:val="Compact"/>
              <w:jc w:val="center"/>
            </w:pPr>
            <w:r>
              <w:rPr>
                <w:rFonts w:ascii="Cambria" w:hAnsi="Cambria"/>
                <w:b/>
                <w:sz w:val="18"/>
              </w:rPr>
              <w:t>Mean</w:t>
            </w:r>
          </w:p>
        </w:tc>
        <w:tc>
          <w:tcPr>
            <w:tcW w:type="dxa" w:w="1882"/>
          </w:tcPr>
          <w:p>
            <w:pPr>
              <w:pStyle w:val="Compact"/>
              <w:jc w:val="center"/>
            </w:pPr>
            <w:r>
              <w:rPr>
                <w:rFonts w:ascii="Cambria" w:hAnsi="Cambria"/>
                <w:b/>
                <w:sz w:val="18"/>
              </w:rPr>
              <w:t>SD</w:t>
            </w:r>
          </w:p>
        </w:tc>
        <w:tc>
          <w:tcPr>
            <w:tcW w:type="dxa" w:w="1882"/>
          </w:tcPr>
          <w:p>
            <w:pPr>
              <w:pStyle w:val="Compact"/>
              <w:jc w:val="center"/>
            </w:pPr>
            <w:r>
              <w:rPr>
                <w:rFonts w:ascii="Cambria" w:hAnsi="Cambria"/>
                <w:b/>
                <w:sz w:val="18"/>
              </w:rPr>
              <w:t>Range across reviewers</w:t>
            </w:r>
          </w:p>
        </w:tc>
        <w:tc>
          <w:tcPr>
            <w:tcW w:type="dxa" w:w="1882"/>
          </w:tcPr>
          <w:p>
            <w:pPr>
              <w:pStyle w:val="Compact"/>
              <w:jc w:val="center"/>
            </w:pPr>
            <w:r>
              <w:rPr>
                <w:rFonts w:ascii="Cambria" w:hAnsi="Cambria"/>
                <w:b/>
                <w:sz w:val="18"/>
              </w:rPr>
              <w:t>Reviewers at 100%</w:t>
            </w:r>
          </w:p>
        </w:tc>
      </w:tr>
      <w:tr>
        <w:tc>
          <w:tcPr>
            <w:tcW w:type="dxa" w:w="1882"/>
          </w:tcPr>
          <w:p>
            <w:pPr>
              <w:pStyle w:val="Compact"/>
              <w:jc w:val="left"/>
            </w:pPr>
            <w:r>
              <w:rPr>
                <w:rFonts w:ascii="Cambria" w:hAnsi="Cambria"/>
                <w:sz w:val="18"/>
              </w:rPr>
              <w:t>Accuracy</w:t>
            </w:r>
          </w:p>
        </w:tc>
        <w:tc>
          <w:tcPr>
            <w:tcW w:type="dxa" w:w="1882"/>
          </w:tcPr>
          <w:p>
            <w:pPr>
              <w:pStyle w:val="Compact"/>
              <w:jc w:val="center"/>
            </w:pPr>
            <w:r>
              <w:rPr>
                <w:rFonts w:ascii="Cambria" w:hAnsi="Cambria"/>
                <w:sz w:val="18"/>
              </w:rPr>
              <w:t>83.9%</w:t>
            </w:r>
          </w:p>
        </w:tc>
        <w:tc>
          <w:tcPr>
            <w:tcW w:type="dxa" w:w="1882"/>
          </w:tcPr>
          <w:p>
            <w:pPr>
              <w:pStyle w:val="Compact"/>
              <w:jc w:val="center"/>
            </w:pPr>
            <w:r>
              <w:rPr>
                <w:rFonts w:ascii="Cambria" w:hAnsi="Cambria"/>
                <w:sz w:val="18"/>
              </w:rPr>
              <w:t>21.0</w:t>
            </w:r>
          </w:p>
        </w:tc>
        <w:tc>
          <w:tcPr>
            <w:tcW w:type="dxa" w:w="1882"/>
          </w:tcPr>
          <w:p>
            <w:pPr>
              <w:pStyle w:val="Compact"/>
              <w:jc w:val="center"/>
            </w:pPr>
            <w:r>
              <w:rPr>
                <w:rFonts w:ascii="Cambria" w:hAnsi="Cambria"/>
                <w:sz w:val="18"/>
              </w:rPr>
              <w:t>37.5 to 100</w:t>
            </w:r>
          </w:p>
        </w:tc>
        <w:tc>
          <w:tcPr>
            <w:tcW w:type="dxa" w:w="1882"/>
          </w:tcPr>
          <w:p>
            <w:pPr>
              <w:pStyle w:val="Compact"/>
              <w:jc w:val="center"/>
            </w:pPr>
            <w:r>
              <w:rPr>
                <w:rFonts w:ascii="Cambria" w:hAnsi="Cambria"/>
                <w:sz w:val="18"/>
              </w:rPr>
              <w:t>6 of 16</w:t>
            </w:r>
          </w:p>
        </w:tc>
      </w:tr>
      <w:tr>
        <w:tc>
          <w:tcPr>
            <w:tcW w:type="dxa" w:w="1882"/>
          </w:tcPr>
          <w:p>
            <w:pPr>
              <w:pStyle w:val="Compact"/>
              <w:jc w:val="left"/>
            </w:pPr>
            <w:r>
              <w:rPr>
                <w:rFonts w:ascii="Cambria" w:hAnsi="Cambria"/>
                <w:sz w:val="18"/>
              </w:rPr>
              <w:t>Sensitivity</w:t>
            </w:r>
          </w:p>
        </w:tc>
        <w:tc>
          <w:tcPr>
            <w:tcW w:type="dxa" w:w="1882"/>
          </w:tcPr>
          <w:p>
            <w:pPr>
              <w:pStyle w:val="Compact"/>
              <w:jc w:val="center"/>
            </w:pPr>
            <w:r>
              <w:rPr>
                <w:rFonts w:ascii="Cambria" w:hAnsi="Cambria"/>
                <w:sz w:val="18"/>
              </w:rPr>
              <w:t>87.0%</w:t>
            </w:r>
          </w:p>
        </w:tc>
        <w:tc>
          <w:tcPr>
            <w:tcW w:type="dxa" w:w="1882"/>
          </w:tcPr>
          <w:p>
            <w:pPr>
              <w:pStyle w:val="Compact"/>
              <w:jc w:val="center"/>
            </w:pPr>
            <w:r>
              <w:rPr>
                <w:rFonts w:ascii="Cambria" w:hAnsi="Cambria"/>
                <w:sz w:val="18"/>
              </w:rPr>
              <w:t>24.2</w:t>
            </w:r>
          </w:p>
        </w:tc>
        <w:tc>
          <w:tcPr>
            <w:tcW w:type="dxa" w:w="1882"/>
          </w:tcPr>
          <w:p>
            <w:pPr>
              <w:pStyle w:val="Compact"/>
              <w:jc w:val="center"/>
            </w:pPr>
            <w:r>
              <w:rPr>
                <w:rFonts w:ascii="Cambria" w:hAnsi="Cambria"/>
                <w:sz w:val="18"/>
              </w:rPr>
              <w:t>25.0 to 100</w:t>
            </w:r>
          </w:p>
        </w:tc>
        <w:tc>
          <w:tcPr>
            <w:tcW w:type="dxa" w:w="1882"/>
          </w:tcPr>
          <w:p>
            <w:pPr>
              <w:pStyle w:val="Compact"/>
              <w:jc w:val="center"/>
            </w:pPr>
            <w:r>
              <w:rPr>
                <w:rFonts w:ascii="Cambria" w:hAnsi="Cambria"/>
                <w:sz w:val="18"/>
              </w:rPr>
              <w:t>11 of 16</w:t>
            </w:r>
          </w:p>
        </w:tc>
      </w:tr>
      <w:tr>
        <w:tc>
          <w:tcPr>
            <w:tcW w:type="dxa" w:w="1882"/>
          </w:tcPr>
          <w:p>
            <w:pPr>
              <w:pStyle w:val="Compact"/>
              <w:jc w:val="left"/>
            </w:pPr>
            <w:r>
              <w:rPr>
                <w:rFonts w:ascii="Cambria" w:hAnsi="Cambria"/>
                <w:sz w:val="18"/>
              </w:rPr>
              <w:t>Specificity</w:t>
            </w:r>
          </w:p>
        </w:tc>
        <w:tc>
          <w:tcPr>
            <w:tcW w:type="dxa" w:w="1882"/>
          </w:tcPr>
          <w:p>
            <w:pPr>
              <w:pStyle w:val="Compact"/>
              <w:jc w:val="center"/>
            </w:pPr>
            <w:r>
              <w:rPr>
                <w:rFonts w:ascii="Cambria" w:hAnsi="Cambria"/>
                <w:sz w:val="18"/>
              </w:rPr>
              <w:t>80.7%</w:t>
            </w:r>
          </w:p>
        </w:tc>
        <w:tc>
          <w:tcPr>
            <w:tcW w:type="dxa" w:w="1882"/>
          </w:tcPr>
          <w:p>
            <w:pPr>
              <w:pStyle w:val="Compact"/>
              <w:jc w:val="center"/>
            </w:pPr>
            <w:r>
              <w:rPr>
                <w:rFonts w:ascii="Cambria" w:hAnsi="Cambria"/>
                <w:sz w:val="18"/>
              </w:rPr>
              <w:t>25.8</w:t>
            </w:r>
          </w:p>
        </w:tc>
        <w:tc>
          <w:tcPr>
            <w:tcW w:type="dxa" w:w="1882"/>
          </w:tcPr>
          <w:p>
            <w:pPr>
              <w:pStyle w:val="Compact"/>
              <w:jc w:val="center"/>
            </w:pPr>
            <w:r>
              <w:rPr>
                <w:rFonts w:ascii="Cambria" w:hAnsi="Cambria"/>
                <w:sz w:val="18"/>
              </w:rPr>
              <w:t>16.7 to 100</w:t>
            </w:r>
          </w:p>
        </w:tc>
        <w:tc>
          <w:tcPr>
            <w:tcW w:type="dxa" w:w="1882"/>
          </w:tcPr>
          <w:p>
            <w:pPr>
              <w:pStyle w:val="Compact"/>
              <w:jc w:val="center"/>
            </w:pPr>
            <w:r>
              <w:rPr>
                <w:rFonts w:ascii="Cambria" w:hAnsi="Cambria"/>
                <w:sz w:val="18"/>
              </w:rPr>
              <w:t>7 of 16</w:t>
            </w:r>
          </w:p>
        </w:tc>
      </w:tr>
    </w:tbl>
    <w:p>
      <w:pPr>
        <w:pStyle w:val="ARPSourceandNotesStyle"/>
        <w:jc w:val="center"/>
      </w:pPr>
      <w:r>
        <w:rPr>
          <w:rFonts w:ascii="Cambria" w:hAnsi="Cambria"/>
          <w:i/>
          <w:sz w:val="16"/>
        </w:rPr>
        <w:t>Source: developed by the authors.</w:t>
      </w:r>
    </w:p>
    <w:p>
      <w:pPr>
        <w:spacing w:line="276" w:lineRule="auto" w:before="0" w:after="0"/>
        <w:ind w:firstLine="283"/>
        <w:jc w:val="both"/>
      </w:pPr>
      <w:r>
        <w:rPr>
          <w:rFonts w:ascii="Cambria" w:hAnsi="Cambria"/>
          <w:sz w:val="2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spacing w:line="276" w:lineRule="auto" w:before="0" w:after="0"/>
        <w:ind w:firstLine="283"/>
        <w:jc w:val="both"/>
      </w:pPr>
      <w:r>
        <w:rPr>
          <w:rFonts w:ascii="Cambria" w:hAnsi="Cambria"/>
          <w:sz w:val="2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w:t>
      </w:r>
    </w:p>
    <w:p>
      <w:pPr>
        <w:spacing w:line="276" w:lineRule="auto" w:before="0" w:after="0"/>
        <w:ind w:firstLine="283"/>
        <w:jc w:val="both"/>
      </w:pPr>
      <w:r>
        <w:rPr>
          <w:rFonts w:ascii="Cambria" w:hAnsi="Cambria"/>
          <w:sz w:val="2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t>Agreement Between Reviewers</w:t>
      </w:r>
    </w:p>
    <w:p>
      <w:pPr>
        <w:spacing w:line="276" w:lineRule="auto" w:before="0" w:after="0"/>
        <w:ind w:firstLine="283"/>
        <w:jc w:val="both"/>
      </w:pPr>
      <w:r>
        <w:rPr>
          <w:rFonts w:ascii="Cambria" w:hAnsi="Cambria"/>
          <w:sz w:val="2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jc w:val="center"/>
      </w:pPr>
      <w:r>
        <w:rPr>
          <w:b/>
        </w:rPr>
        <w:t>Table 3. Chance-corrected agreement on the overall determination</w:t>
      </w:r>
    </w:p>
    <w:tbl>
      <w:tblPr>
        <w:tblStyle w:val="TableGrid"/>
        <w:tblLook w:firstColumn="1" w:firstRow="1" w:lastColumn="0" w:lastRow="0" w:noHBand="0" w:noVBand="1" w:val="04A0"/>
        <w:tblW w:type="pct" w:w="5000"/>
      </w:tblPr>
      <w:tblGrid>
        <w:gridCol w:w="1345"/>
        <w:gridCol w:w="1345"/>
        <w:gridCol w:w="1345"/>
        <w:gridCol w:w="1345"/>
        <w:gridCol w:w="1345"/>
        <w:gridCol w:w="1345"/>
        <w:gridCol w:w="1345"/>
      </w:tblGrid>
      <w:tr>
        <w:trPr>
          <w:tblHeader w:val="true"/>
        </w:trPr>
        <w:tc>
          <w:tcPr>
            <w:tcW w:type="dxa" w:w="1345"/>
          </w:tcPr>
          <w:p>
            <w:pPr>
              <w:pStyle w:val="Compact"/>
              <w:jc w:val="left"/>
            </w:pPr>
            <w:r>
              <w:rPr>
                <w:rFonts w:ascii="Cambria" w:hAnsi="Cambria"/>
                <w:b/>
                <w:sz w:val="18"/>
              </w:rPr>
              <w:t>Group</w:t>
            </w:r>
          </w:p>
        </w:tc>
        <w:tc>
          <w:tcPr>
            <w:tcW w:type="dxa" w:w="1345"/>
          </w:tcPr>
          <w:p>
            <w:pPr>
              <w:pStyle w:val="Compact"/>
              <w:jc w:val="center"/>
            </w:pPr>
            <w:r>
              <w:rPr>
                <w:rFonts w:ascii="Cambria" w:hAnsi="Cambria"/>
                <w:b/>
                <w:sz w:val="18"/>
              </w:rPr>
              <w:t>Records</w:t>
            </w:r>
          </w:p>
        </w:tc>
        <w:tc>
          <w:tcPr>
            <w:tcW w:type="dxa" w:w="1345"/>
          </w:tcPr>
          <w:p>
            <w:pPr>
              <w:pStyle w:val="Compact"/>
              <w:jc w:val="center"/>
            </w:pPr>
            <w:r>
              <w:rPr>
                <w:rFonts w:ascii="Cambria" w:hAnsi="Cambria"/>
                <w:b/>
                <w:sz w:val="18"/>
              </w:rPr>
              <w:t>Labels</w:t>
            </w:r>
          </w:p>
        </w:tc>
        <w:tc>
          <w:tcPr>
            <w:tcW w:type="dxa" w:w="1345"/>
          </w:tcPr>
          <w:p>
            <w:pPr>
              <w:pStyle w:val="Compact"/>
              <w:jc w:val="center"/>
            </w:pPr>
            <w:r>
              <w:rPr>
                <w:rFonts w:ascii="Cambria" w:hAnsi="Cambria"/>
                <w:b/>
                <w:sz w:val="18"/>
              </w:rPr>
              <w:t>Raters</w:t>
            </w:r>
          </w:p>
        </w:tc>
        <w:tc>
          <w:tcPr>
            <w:tcW w:type="dxa" w:w="1345"/>
          </w:tcPr>
          <w:p>
            <w:pPr>
              <w:pStyle w:val="Compact"/>
              <w:jc w:val="center"/>
            </w:pPr>
            <w:r>
              <w:rPr>
                <w:rFonts w:ascii="Cambria" w:hAnsi="Cambria"/>
                <w:b/>
                <w:sz w:val="18"/>
              </w:rPr>
              <w:t>AC1</w:t>
            </w:r>
          </w:p>
        </w:tc>
        <w:tc>
          <w:tcPr>
            <w:tcW w:type="dxa" w:w="1345"/>
          </w:tcPr>
          <w:p>
            <w:pPr>
              <w:pStyle w:val="Compact"/>
              <w:jc w:val="center"/>
            </w:pPr>
            <w:r>
              <w:rPr>
                <w:rFonts w:ascii="Cambria" w:hAnsi="Cambria"/>
                <w:b/>
                <w:sz w:val="18"/>
              </w:rPr>
              <w:t>95% CI (analytic, registered)</w:t>
            </w:r>
          </w:p>
        </w:tc>
        <w:tc>
          <w:tcPr>
            <w:tcW w:type="dxa" w:w="1345"/>
          </w:tcPr>
          <w:p>
            <w:pPr>
              <w:pStyle w:val="Compact"/>
              <w:jc w:val="center"/>
            </w:pPr>
            <w:r>
              <w:rPr>
                <w:rFonts w:ascii="Cambria" w:hAnsi="Cambria"/>
                <w:b/>
                <w:sz w:val="18"/>
              </w:rPr>
              <w:t>95% CI (bootstrap, sensitivity)</w:t>
            </w:r>
          </w:p>
        </w:tc>
      </w:tr>
      <w:tr>
        <w:tc>
          <w:tcPr>
            <w:tcW w:type="dxa" w:w="1345"/>
          </w:tcPr>
          <w:p>
            <w:pPr>
              <w:pStyle w:val="Compact"/>
              <w:jc w:val="left"/>
            </w:pPr>
            <w:r>
              <w:rPr>
                <w:rFonts w:ascii="Cambria" w:hAnsi="Cambria"/>
                <w:sz w:val="18"/>
              </w:rPr>
              <w:t>Invited</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36</w:t>
            </w:r>
          </w:p>
        </w:tc>
        <w:tc>
          <w:tcPr>
            <w:tcW w:type="dxa" w:w="1345"/>
          </w:tcPr>
          <w:p>
            <w:pPr>
              <w:pStyle w:val="Compact"/>
              <w:jc w:val="center"/>
            </w:pPr>
            <w:r>
              <w:rPr>
                <w:rFonts w:ascii="Cambria" w:hAnsi="Cambria"/>
                <w:sz w:val="18"/>
              </w:rPr>
              <w:t>8</w:t>
            </w:r>
          </w:p>
        </w:tc>
        <w:tc>
          <w:tcPr>
            <w:tcW w:type="dxa" w:w="1345"/>
          </w:tcPr>
          <w:p>
            <w:pPr>
              <w:pStyle w:val="Compact"/>
              <w:jc w:val="center"/>
            </w:pPr>
            <w:r>
              <w:rPr>
                <w:rFonts w:ascii="Cambria" w:hAnsi="Cambria"/>
                <w:sz w:val="18"/>
              </w:rPr>
              <w:t>0.739</w:t>
            </w:r>
          </w:p>
        </w:tc>
        <w:tc>
          <w:tcPr>
            <w:tcW w:type="dxa" w:w="1345"/>
          </w:tcPr>
          <w:p>
            <w:pPr>
              <w:pStyle w:val="Compact"/>
              <w:jc w:val="center"/>
            </w:pPr>
            <w:r>
              <w:rPr>
                <w:rFonts w:ascii="Cambria" w:hAnsi="Cambria"/>
                <w:sz w:val="18"/>
              </w:rPr>
              <w:t>0.402 to 1.000</w:t>
            </w:r>
          </w:p>
        </w:tc>
        <w:tc>
          <w:tcPr>
            <w:tcW w:type="dxa" w:w="1345"/>
          </w:tcPr>
          <w:p>
            <w:pPr>
              <w:pStyle w:val="Compact"/>
              <w:jc w:val="center"/>
            </w:pPr>
            <w:r>
              <w:rPr>
                <w:rFonts w:ascii="Cambria" w:hAnsi="Cambria"/>
                <w:sz w:val="18"/>
              </w:rPr>
              <w:t>0.427 to 1.000</w:t>
            </w:r>
          </w:p>
        </w:tc>
      </w:tr>
      <w:tr>
        <w:tc>
          <w:tcPr>
            <w:tcW w:type="dxa" w:w="1345"/>
          </w:tcPr>
          <w:p>
            <w:pPr>
              <w:pStyle w:val="Compact"/>
              <w:jc w:val="left"/>
            </w:pPr>
            <w:r>
              <w:rPr>
                <w:rFonts w:ascii="Cambria" w:hAnsi="Cambria"/>
                <w:sz w:val="18"/>
              </w:rPr>
              <w:t>Open enrolment</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68</w:t>
            </w:r>
          </w:p>
        </w:tc>
        <w:tc>
          <w:tcPr>
            <w:tcW w:type="dxa" w:w="1345"/>
          </w:tcPr>
          <w:p>
            <w:pPr>
              <w:pStyle w:val="Compact"/>
              <w:jc w:val="center"/>
            </w:pPr>
            <w:r>
              <w:rPr>
                <w:rFonts w:ascii="Cambria" w:hAnsi="Cambria"/>
                <w:sz w:val="18"/>
              </w:rPr>
              <w:t>14</w:t>
            </w:r>
          </w:p>
        </w:tc>
        <w:tc>
          <w:tcPr>
            <w:tcW w:type="dxa" w:w="1345"/>
          </w:tcPr>
          <w:p>
            <w:pPr>
              <w:pStyle w:val="Compact"/>
              <w:jc w:val="center"/>
            </w:pPr>
            <w:r>
              <w:rPr>
                <w:rFonts w:ascii="Cambria" w:hAnsi="Cambria"/>
                <w:sz w:val="18"/>
              </w:rPr>
              <w:t>0.623</w:t>
            </w:r>
          </w:p>
        </w:tc>
        <w:tc>
          <w:tcPr>
            <w:tcW w:type="dxa" w:w="1345"/>
          </w:tcPr>
          <w:p>
            <w:pPr>
              <w:pStyle w:val="Compact"/>
              <w:jc w:val="center"/>
            </w:pPr>
            <w:r>
              <w:rPr>
                <w:rFonts w:ascii="Cambria" w:hAnsi="Cambria"/>
                <w:sz w:val="18"/>
              </w:rPr>
              <w:t>0.252 to 0.993</w:t>
            </w:r>
          </w:p>
        </w:tc>
        <w:tc>
          <w:tcPr>
            <w:tcW w:type="dxa" w:w="1345"/>
          </w:tcPr>
          <w:p>
            <w:pPr>
              <w:pStyle w:val="Compact"/>
              <w:jc w:val="center"/>
            </w:pPr>
            <w:r>
              <w:rPr>
                <w:rFonts w:ascii="Cambria" w:hAnsi="Cambria"/>
                <w:sz w:val="18"/>
              </w:rPr>
              <w:t>0.285 to 0.894</w:t>
            </w:r>
          </w:p>
        </w:tc>
      </w:tr>
    </w:tbl>
    <w:p>
      <w:pPr>
        <w:pStyle w:val="ARPSourceandNotesStyle"/>
        <w:jc w:val="center"/>
      </w:pPr>
      <w:r>
        <w:rPr>
          <w:rFonts w:ascii="Cambria" w:hAnsi="Cambria"/>
          <w:i/>
          <w:sz w:val="16"/>
        </w:rPr>
        <w:t>Note: AC1 is Gwet's first-order agreement coefficient. Source: developed by the authors.</w:t>
      </w:r>
    </w:p>
    <w:p>
      <w:pPr>
        <w:spacing w:line="276" w:lineRule="auto" w:before="0" w:after="0"/>
        <w:ind w:firstLine="283"/>
        <w:jc w:val="both"/>
      </w:pPr>
      <w:r>
        <w:rPr>
          <w:rFonts w:ascii="Cambria" w:hAnsi="Cambria"/>
          <w:sz w:val="2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spacing w:line="276" w:lineRule="auto" w:before="0" w:after="0"/>
        <w:ind w:firstLine="283"/>
        <w:jc w:val="both"/>
      </w:pPr>
      <w:r>
        <w:rPr>
          <w:rFonts w:ascii="Cambria" w:hAnsi="Cambria"/>
          <w:sz w:val="2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t>Supporting Analyses</w:t>
      </w:r>
    </w:p>
    <w:p>
      <w:pPr>
        <w:spacing w:line="276" w:lineRule="auto" w:before="0" w:after="0"/>
        <w:ind w:firstLine="283"/>
        <w:jc w:val="both"/>
      </w:pPr>
      <w:r>
        <w:rPr>
          <w:rFonts w:ascii="Cambria" w:hAnsi="Cambria"/>
          <w:sz w:val="2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spacing w:line="276" w:lineRule="auto" w:before="0" w:after="0"/>
        <w:ind w:firstLine="283"/>
        <w:jc w:val="both"/>
      </w:pPr>
      <w:r>
        <w:rPr>
          <w:rFonts w:ascii="Cambria" w:hAnsi="Cambria"/>
          <w:sz w:val="2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t>DISCUSSION</w:t>
      </w:r>
    </w:p>
    <w:p>
      <w:pPr>
        <w:pStyle w:val="ARPLevel2Style"/>
      </w:pPr>
      <w:r>
        <w:t>What the Results Show</w:t>
      </w:r>
    </w:p>
    <w:p>
      <w:pPr>
        <w:spacing w:line="276" w:lineRule="auto" w:before="0" w:after="0"/>
        <w:ind w:firstLine="283"/>
        <w:jc w:val="both"/>
      </w:pPr>
      <w:r>
        <w:rPr>
          <w:rFonts w:ascii="Cambria" w:hAnsi="Cambria"/>
          <w:sz w:val="20"/>
        </w:rPr>
        <w:t>Reviewers who had never seen the records and did not know the answers identified unsupported conclusions in AI-drafted files at 83.9 percent, comfortably above a target set before the data came in. At least for clear cases, then, the problem is recognisable to independent experts, and human review has a factual basis on which to build.</w:t>
      </w:r>
    </w:p>
    <w:p>
      <w:pPr>
        <w:spacing w:line="276" w:lineRule="auto" w:before="0" w:after="0"/>
        <w:ind w:firstLine="283"/>
        <w:jc w:val="both"/>
      </w:pPr>
      <w:r>
        <w:rPr>
          <w:rFonts w:ascii="Cambria" w:hAnsi="Cambria"/>
          <w:sz w:val="20"/>
        </w:rPr>
        <w:t>Individual results temper that conclusion. Every reviewer was a credentialed expert, yet accuracy ran from 37.5 to 100 percent, and most of the spread came from the reviewers. Expertise alone did not guarantee dependable judgment. Agreement between raters also missed its registered lower bound. Detection worked as something a group of reviewers can do; for any single reviewer it remains unproven.</w:t>
      </w:r>
    </w:p>
    <w:p>
      <w:pPr>
        <w:pStyle w:val="ARPLevel2Style"/>
      </w:pPr>
      <w:r>
        <w:t>Socioeconomic Implications</w:t>
      </w:r>
    </w:p>
    <w:p>
      <w:pPr>
        <w:spacing w:line="276" w:lineRule="auto" w:before="0" w:after="0"/>
        <w:ind w:firstLine="283"/>
        <w:jc w:val="both"/>
      </w:pPr>
      <w:r>
        <w:rPr>
          <w:rFonts w:ascii="Cambria" w:hAnsi="Cambria"/>
          <w:sz w:val="2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often adopted for productivity gains of this kind (Mushkudiani et al., 2026), so part of the saving may have to be spent on checking the output. How much depends on the stakes of the decisions and on what errors cost, neither of which this study measured.</w:t>
      </w:r>
    </w:p>
    <w:p>
      <w:pPr>
        <w:spacing w:line="276" w:lineRule="auto" w:before="0" w:after="0"/>
        <w:ind w:firstLine="283"/>
        <w:jc w:val="both"/>
      </w:pPr>
      <w:r>
        <w:rPr>
          <w:rFonts w:ascii="Cambria" w:hAnsi="Cambria"/>
          <w:sz w:val="2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report a related gap in algorithmic management: in the research they reviewed, the points at which algorithmic scores turn into sanctions were the least examined.</w:t>
      </w:r>
    </w:p>
    <w:p>
      <w:pPr>
        <w:spacing w:line="276" w:lineRule="auto" w:before="0" w:after="0"/>
        <w:ind w:firstLine="283"/>
        <w:jc w:val="both"/>
      </w:pPr>
      <w:r>
        <w:rPr>
          <w:rFonts w:ascii="Cambria" w:hAnsi="Cambria"/>
          <w:sz w:val="2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spacing w:line="276" w:lineRule="auto" w:before="0" w:after="0"/>
        <w:ind w:firstLine="283"/>
        <w:jc w:val="both"/>
      </w:pPr>
      <w:r>
        <w:rPr>
          <w:rFonts w:ascii="Cambria" w:hAnsi="Cambria"/>
          <w:sz w:val="20"/>
        </w:rPr>
        <w:t>Records also carry institutional memory. Staff move on, retire or leave, and the record is often the only account of a decision that remains. A file that only its author could explain turns the organisation's memory into one person's recollection, which fades and eventually disappears. Where generative drafting produces polished records that lack their basis, an organisation may build up decisions it cannot later explain, a cost that appears only when someone asks. Measuring whether reviewers can catch such records is therefore also a way of protecting what the organisation knows about its own past decisions.</w:t>
      </w:r>
    </w:p>
    <w:p>
      <w:pPr>
        <w:spacing w:line="276" w:lineRule="auto" w:before="0" w:after="0"/>
        <w:ind w:firstLine="283"/>
        <w:jc w:val="both"/>
      </w:pPr>
      <w:r>
        <w:rPr>
          <w:rFonts w:ascii="Cambria" w:hAnsi="Cambria"/>
          <w:sz w:val="2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(European Union, 2024) presume that oversight works. These results suggest it should be measured, and that the individual reviewer, as well as the review process, is the right thing to measure. Oluka (2026) reaches a compatible conclusion for municipal finance, where the impact of digital compliance tools was constrained by poor data integration, limited digital readiness and uneven accountability.</w:t>
      </w:r>
    </w:p>
    <w:p>
      <w:pPr>
        <w:spacing w:line="276" w:lineRule="auto" w:before="0" w:after="0"/>
        <w:ind w:firstLine="283"/>
        <w:jc w:val="both"/>
      </w:pPr>
      <w:r>
        <w:rPr>
          <w:rFonts w:ascii="Cambria" w:hAnsi="Cambria"/>
          <w:sz w:val="2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t>Implications for Practice</w:t>
      </w:r>
    </w:p>
    <w:p>
      <w:pPr>
        <w:spacing w:line="276" w:lineRule="auto" w:before="0" w:after="0"/>
        <w:ind w:firstLine="283"/>
        <w:jc w:val="both"/>
      </w:pPr>
      <w:r>
        <w:rPr>
          <w:rFonts w:ascii="Cambria" w:hAnsi="Cambria"/>
          <w:sz w:val="2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t>Relation to the Companion Study</w:t>
      </w:r>
    </w:p>
    <w:p>
      <w:pPr>
        <w:spacing w:line="276" w:lineRule="auto" w:before="0" w:after="0"/>
        <w:ind w:firstLine="283"/>
        <w:jc w:val="both"/>
      </w:pPr>
      <w:r>
        <w:rPr>
          <w:rFonts w:ascii="Cambria" w:hAnsi="Cambria"/>
          <w:sz w:val="2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experts, and that the weak link in practice may be the consistency of individual reviewers. Both studies share authors and neither validates the other, so the agreement between them is a reason to test further.</w:t>
      </w:r>
    </w:p>
    <w:p>
      <w:pPr>
        <w:pStyle w:val="ARPLevel2Style"/>
      </w:pPr>
      <w:r>
        <w:t>AI Drafting as Context</w:t>
      </w:r>
    </w:p>
    <w:p>
      <w:pPr>
        <w:spacing w:line="276" w:lineRule="auto" w:before="0" w:after="0"/>
        <w:ind w:firstLine="283"/>
        <w:jc w:val="both"/>
      </w:pPr>
      <w:r>
        <w:rPr>
          <w:rFonts w:ascii="Cambria" w:hAnsi="Cambria"/>
          <w:sz w:val="2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t>Strengths of the Design</w:t>
      </w:r>
    </w:p>
    <w:p>
      <w:pPr>
        <w:spacing w:line="276" w:lineRule="auto" w:before="0" w:after="0"/>
        <w:ind w:firstLine="283"/>
        <w:jc w:val="both"/>
      </w:pPr>
      <w:r>
        <w:rPr>
          <w:rFonts w:ascii="Cambria" w:hAnsi="Cambria"/>
          <w:sz w:val="20"/>
        </w:rPr>
        <w:t>Several features of the design support confidence in the main result. The analysis plan and thresholds were fixed before any accuracy analysis. Reviewers did not know the answers, the balance of the corpus or each other's judgments. The reference classification was reproduced on all 72 automated checks without access to the intended labels. Accuracy was analysed with reviewers as the unit, so precision was not overstated, and an exploratory model allowing for record difficulty left the estimate essentially unchanged. The panel spanned 11 countries and several professions. Three models from three different vendors applied the same review with 87.2 percent agreement, which indicates that the review examines the record itself and can be applied whichever drafting tool produced it. Finally, every registered criterion is reported, including the reliability criterion that was not met. That openness is deliberate: a result reported together with its shortfalls gives institutions a sounder basis for decisions than one reported selectively.</w:t>
      </w:r>
    </w:p>
    <w:p>
      <w:pPr>
        <w:pStyle w:val="ARPLevel2Style"/>
      </w:pPr>
      <w:r>
        <w:t>Limitations</w:t>
      </w:r>
    </w:p>
    <w:p>
      <w:pPr>
        <w:spacing w:line="276" w:lineRule="auto" w:before="0" w:after="0"/>
        <w:ind w:firstLine="283"/>
        <w:jc w:val="both"/>
      </w:pPr>
      <w:r>
        <w:rPr>
          <w:rFonts w:ascii="Cambria" w:hAnsi="Cambria"/>
          <w:sz w:val="2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expert panel was small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t>Further Research</w:t>
      </w:r>
    </w:p>
    <w:p>
      <w:pPr>
        <w:spacing w:line="276" w:lineRule="auto" w:before="0" w:after="0"/>
        <w:ind w:firstLine="283"/>
        <w:jc w:val="both"/>
      </w:pPr>
      <w:r>
        <w:rPr>
          <w:rFonts w:ascii="Cambria" w:hAnsi="Cambria"/>
          <w:sz w:val="2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t>CONCLUSIONS</w:t>
      </w:r>
    </w:p>
    <w:p>
      <w:pPr>
        <w:spacing w:line="276" w:lineRule="auto" w:before="0" w:after="0"/>
        <w:ind w:firstLine="283"/>
        <w:jc w:val="both"/>
      </w:pPr>
      <w:r>
        <w:rPr>
          <w:rFonts w:ascii="Cambria" w:hAnsi="Cambria"/>
          <w:sz w:val="20"/>
        </w:rPr>
        <w:t>Expert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spacing w:line="276" w:lineRule="auto" w:before="0" w:after="0"/>
        <w:ind w:firstLine="283"/>
        <w:jc w:val="both"/>
      </w:pPr>
      <w:r>
        <w:rPr>
          <w:rFonts w:ascii="Cambria" w:hAnsi="Cambria"/>
          <w:sz w:val="2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spacing w:line="276" w:lineRule="auto" w:before="0" w:after="0"/>
        <w:ind w:firstLine="283"/>
        <w:jc w:val="both"/>
      </w:pPr>
      <w:r>
        <w:rPr>
          <w:rFonts w:ascii="Cambria" w:hAnsi="Cambria"/>
          <w:sz w:val="2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t>AUTHOR CONTRIBUTIONS</w:t>
      </w:r>
    </w:p>
    <w:p>
      <w:pPr>
        <w:spacing w:line="276" w:lineRule="auto" w:before="0" w:after="0"/>
        <w:ind w:firstLine="283"/>
        <w:jc w:val="both"/>
      </w:pPr>
      <w:r>
        <w:rPr>
          <w:rFonts w:ascii="Cambria" w:hAnsi="Cambria"/>
          <w:sz w:val="2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t>ACKNOWLEDGEMENTS</w:t>
      </w:r>
    </w:p>
    <w:p>
      <w:pPr>
        <w:spacing w:line="276" w:lineRule="auto" w:before="0" w:after="0"/>
        <w:ind w:firstLine="283"/>
        <w:jc w:val="both"/>
      </w:pPr>
      <w:r>
        <w:rPr>
          <w:rFonts w:ascii="Cambria" w:hAnsi="Cambria"/>
          <w:sz w:val="20"/>
        </w:rPr>
        <w:t>The detection panel, 16 independent experts across 11 countries and five continents, each read the full 24-record corpus without knowing the reference classification and returned 384 graded judgments. This paper's main result is theirs. The reliability study involved 25 raters, eight invited and seventeen enrolled through an open review page. Twenty-two of them worked under the five-condition review and form the analysed sample; the other three worked under the unstructured baseline prompt, and their labels are excluded under the rule stated in the Methodology. All 25 are credited here because all 25 did the work. A further 20 independent experts completed the same corpus in a separate comparison study, which is reported elsewhere.</w:t>
      </w:r>
    </w:p>
    <w:p>
      <w:pPr>
        <w:spacing w:line="276" w:lineRule="auto" w:before="0" w:after="0"/>
        <w:ind w:firstLine="283"/>
        <w:jc w:val="both"/>
      </w:pPr>
      <w:r>
        <w:rPr>
          <w:rFonts w:ascii="Cambria" w:hAnsi="Cambria"/>
          <w:sz w:val="20"/>
        </w:rPr>
        <w:t>These three groups comprise 61 participations held by 58 distinct people, since three reliability raters also served on the detection panel. All 58 worked unpaid, in a personal capacity and with nothing at stake in the outcome. Contributors are named only with their consent; none is an author of this paper, and any contributor may withdraw their name at any time. Reviewers who have not recorded a choice are counted in every figure and are not named.</w:t>
      </w:r>
    </w:p>
    <w:p>
      <w:pPr>
        <w:spacing w:line="276" w:lineRule="auto" w:before="0" w:after="0"/>
        <w:ind w:firstLine="283"/>
        <w:jc w:val="both"/>
      </w:pPr>
      <w:r>
        <w:rPr>
          <w:rFonts w:ascii="Cambria" w:hAnsi="Cambria"/>
          <w:sz w:val="20"/>
        </w:rPr>
        <w:t>Thirty-two contributors chose to be named. Each name and description below is given as that person recorded it:</w:t>
      </w:r>
    </w:p>
    <w:p>
      <w:pPr>
        <w:spacing w:line="276" w:lineRule="auto" w:before="0" w:after="0"/>
        <w:ind w:left="283" w:firstLine="0"/>
        <w:jc w:val="both"/>
      </w:pPr>
      <w:r>
        <w:rPr>
          <w:rFonts w:ascii="Cambria" w:hAnsi="Cambria"/>
          <w:sz w:val="20"/>
        </w:rPr>
        <w:t>Adesh Sharma, Data and AI Governance Leader | IAPP AIGP CIPT; Digital Frontier Partners</w:t>
      </w:r>
    </w:p>
    <w:p>
      <w:pPr>
        <w:spacing w:line="276" w:lineRule="auto" w:before="0" w:after="0"/>
        <w:ind w:left="283" w:firstLine="0"/>
        <w:jc w:val="both"/>
      </w:pPr>
      <w:r>
        <w:rPr>
          <w:rFonts w:ascii="Cambria" w:hAnsi="Cambria"/>
          <w:sz w:val="20"/>
        </w:rPr>
        <w:t>Andres Lage Freire, Operational AI Governance Lead &amp; Responsible AI Architect; Independent Consultant</w:t>
      </w:r>
    </w:p>
    <w:p>
      <w:pPr>
        <w:spacing w:line="276" w:lineRule="auto" w:before="0" w:after="0"/>
        <w:ind w:left="283" w:firstLine="0"/>
        <w:jc w:val="both"/>
      </w:pPr>
      <w:r>
        <w:rPr>
          <w:rFonts w:ascii="Cambria" w:hAnsi="Cambria"/>
          <w:sz w:val="20"/>
        </w:rPr>
        <w:t>Andrey Ekhmenin, Founder, ANDEKS™; Independent Governance Assessment and Diagnostics</w:t>
      </w:r>
    </w:p>
    <w:p>
      <w:pPr>
        <w:spacing w:line="276" w:lineRule="auto" w:before="0" w:after="0"/>
        <w:ind w:left="283" w:firstLine="0"/>
        <w:jc w:val="both"/>
      </w:pPr>
      <w:r>
        <w:rPr>
          <w:rFonts w:ascii="Cambria" w:hAnsi="Cambria"/>
          <w:sz w:val="20"/>
        </w:rPr>
        <w:t>Andrzej Skulski, Founder | AI Governance &amp; Decision Systems; Dom Ciszy – Resonance Lab</w:t>
      </w:r>
    </w:p>
    <w:p>
      <w:pPr>
        <w:spacing w:line="276" w:lineRule="auto" w:before="0" w:after="0"/>
        <w:ind w:left="283" w:firstLine="0"/>
        <w:jc w:val="both"/>
      </w:pPr>
      <w:r>
        <w:rPr>
          <w:rFonts w:ascii="Cambria" w:hAnsi="Cambria"/>
          <w:sz w:val="20"/>
        </w:rPr>
        <w:t>Boris Khazin, AI Governance, Digital Risk and GRC leader; ClearView MRI; ex-EPAM Global Head of DRM/GRC; Khazin Consulting LLC</w:t>
      </w:r>
    </w:p>
    <w:p>
      <w:pPr>
        <w:spacing w:line="276" w:lineRule="auto" w:before="0" w:after="0"/>
        <w:ind w:left="283" w:firstLine="0"/>
        <w:jc w:val="both"/>
      </w:pPr>
      <w:r>
        <w:rPr>
          <w:rFonts w:ascii="Cambria" w:hAnsi="Cambria"/>
          <w:sz w:val="20"/>
        </w:rPr>
        <w:t>Candid Opris, Founder and Managing Partner, Opris &amp; Associates Inc.; two decades in AI and data governance and digital trust</w:t>
      </w:r>
    </w:p>
    <w:p>
      <w:pPr>
        <w:spacing w:line="276" w:lineRule="auto" w:before="0" w:after="0"/>
        <w:ind w:left="283" w:firstLine="0"/>
        <w:jc w:val="both"/>
      </w:pPr>
      <w:r>
        <w:rPr>
          <w:rFonts w:ascii="Cambria" w:hAnsi="Cambria"/>
          <w:sz w:val="20"/>
        </w:rPr>
        <w:t>Donavine Smith, Board &amp; Executive Advisor | Frontier AI Strategy &amp; Governance; Independent</w:t>
      </w:r>
    </w:p>
    <w:p>
      <w:pPr>
        <w:spacing w:line="276" w:lineRule="auto" w:before="0" w:after="0"/>
        <w:ind w:left="283" w:firstLine="0"/>
        <w:jc w:val="both"/>
      </w:pPr>
      <w:r>
        <w:rPr>
          <w:rFonts w:ascii="Cambria" w:hAnsi="Cambria"/>
          <w:sz w:val="20"/>
        </w:rPr>
        <w:t>Dr. Eric J. W. Orlowski, AI Governance Specialist, Ethnographer, Tech Policy Researcher; Research Fellow, NUS AI Institute; PhD, UCL</w:t>
      </w:r>
    </w:p>
    <w:p>
      <w:pPr>
        <w:spacing w:line="276" w:lineRule="auto" w:before="0" w:after="0"/>
        <w:ind w:left="283" w:firstLine="0"/>
        <w:jc w:val="both"/>
      </w:pPr>
      <w:r>
        <w:rPr>
          <w:rFonts w:ascii="Cambria" w:hAnsi="Cambria"/>
          <w:sz w:val="20"/>
        </w:rPr>
        <w:t>Dr. Gabriela Bar, attorney at law, AI ethics advisor; Gabriela Bar Law &amp; AI</w:t>
      </w:r>
    </w:p>
    <w:p>
      <w:pPr>
        <w:spacing w:line="276" w:lineRule="auto" w:before="0" w:after="0"/>
        <w:ind w:left="283" w:firstLine="0"/>
        <w:jc w:val="both"/>
      </w:pPr>
      <w:r>
        <w:rPr>
          <w:rFonts w:ascii="Cambria" w:hAnsi="Cambria"/>
          <w:sz w:val="20"/>
        </w:rPr>
        <w:t>Dr. Nitin Deshpande, Chief Human Resources Officer; Cooper Corporation Pvt Limited</w:t>
      </w:r>
    </w:p>
    <w:p>
      <w:pPr>
        <w:spacing w:line="276" w:lineRule="auto" w:before="0" w:after="0"/>
        <w:ind w:left="283" w:firstLine="0"/>
        <w:jc w:val="both"/>
      </w:pPr>
      <w:r>
        <w:rPr>
          <w:rFonts w:ascii="Cambria" w:hAnsi="Cambria"/>
          <w:sz w:val="20"/>
        </w:rPr>
        <w:t>Dr. Sharon Licqurish, PhD, CEO, Chief Scientist and AI Governance Architect, AIIP; Ontocore Licencing Authority LLC</w:t>
      </w:r>
    </w:p>
    <w:p>
      <w:pPr>
        <w:spacing w:line="276" w:lineRule="auto" w:before="0" w:after="0"/>
        <w:ind w:left="283" w:firstLine="0"/>
        <w:jc w:val="both"/>
      </w:pPr>
      <w:r>
        <w:rPr>
          <w:rFonts w:ascii="Cambria" w:hAnsi="Cambria"/>
          <w:sz w:val="20"/>
        </w:rPr>
        <w:t>Franciscus C Schouten, AI Governance and Assurance; The AI Non-Delegation Doctrine</w:t>
      </w:r>
    </w:p>
    <w:p>
      <w:pPr>
        <w:spacing w:line="276" w:lineRule="auto" w:before="0" w:after="0"/>
        <w:ind w:left="283" w:firstLine="0"/>
        <w:jc w:val="both"/>
      </w:pPr>
      <w:r>
        <w:rPr>
          <w:rFonts w:ascii="Cambria" w:hAnsi="Cambria"/>
          <w:sz w:val="20"/>
        </w:rPr>
        <w:t>Gabriela Cortez, Education and Outreach/Intake; Maryland Commission on Civil Rights</w:t>
      </w:r>
    </w:p>
    <w:p>
      <w:pPr>
        <w:spacing w:line="276" w:lineRule="auto" w:before="0" w:after="0"/>
        <w:ind w:left="283" w:firstLine="0"/>
        <w:jc w:val="both"/>
      </w:pPr>
      <w:r>
        <w:rPr>
          <w:rFonts w:ascii="Cambria" w:hAnsi="Cambria"/>
          <w:sz w:val="20"/>
        </w:rPr>
        <w:t>Greg Searle, AI Governance and Model Behaviour Researcher; Anypoint Pty Ltd</w:t>
      </w:r>
    </w:p>
    <w:p>
      <w:pPr>
        <w:spacing w:line="276" w:lineRule="auto" w:before="0" w:after="0"/>
        <w:ind w:left="283" w:firstLine="0"/>
        <w:jc w:val="both"/>
      </w:pPr>
      <w:r>
        <w:rPr>
          <w:rFonts w:ascii="Cambria" w:hAnsi="Cambria"/>
          <w:sz w:val="20"/>
        </w:rPr>
        <w:t>Hekim Colpan, AI Governance and Compliance Manager | Data Protection Manager | ISO/IEC 42001 Auditor</w:t>
      </w:r>
    </w:p>
    <w:p>
      <w:pPr>
        <w:spacing w:line="276" w:lineRule="auto" w:before="0" w:after="0"/>
        <w:ind w:left="283" w:firstLine="0"/>
        <w:jc w:val="both"/>
      </w:pPr>
      <w:r>
        <w:rPr>
          <w:rFonts w:ascii="Cambria" w:hAnsi="Cambria"/>
          <w:sz w:val="20"/>
        </w:rPr>
        <w:t>Jake McDonough, AI Governance; SAEONYX Global Holdings LLC</w:t>
      </w:r>
    </w:p>
    <w:p>
      <w:pPr>
        <w:spacing w:line="276" w:lineRule="auto" w:before="0" w:after="0"/>
        <w:ind w:left="283" w:firstLine="0"/>
        <w:jc w:val="both"/>
      </w:pPr>
      <w:r>
        <w:rPr>
          <w:rFonts w:ascii="Cambria" w:hAnsi="Cambria"/>
          <w:sz w:val="20"/>
        </w:rPr>
        <w:t>Jean-Luc Adade, Regional IT Leader, West, Central and North Africa; IT governance and digital transformation</w:t>
      </w:r>
    </w:p>
    <w:p>
      <w:pPr>
        <w:spacing w:line="276" w:lineRule="auto" w:before="0" w:after="0"/>
        <w:ind w:left="283" w:firstLine="0"/>
        <w:jc w:val="both"/>
      </w:pPr>
      <w:r>
        <w:rPr>
          <w:rFonts w:ascii="Cambria" w:hAnsi="Cambria"/>
          <w:sz w:val="20"/>
        </w:rPr>
        <w:t>Joseph Mungai, AI Governance and public policy researcher; Independent Researcher, Kenya</w:t>
      </w:r>
    </w:p>
    <w:p>
      <w:pPr>
        <w:spacing w:line="276" w:lineRule="auto" w:before="0" w:after="0"/>
        <w:ind w:left="283" w:firstLine="0"/>
        <w:jc w:val="both"/>
      </w:pPr>
      <w:r>
        <w:rPr>
          <w:rFonts w:ascii="Cambria" w:hAnsi="Cambria"/>
          <w:sz w:val="20"/>
        </w:rPr>
        <w:t>MacKenzie McCowan, AI Governance Specialist, PhD candidate, Lecturer; Atomi; The University of Sydney; Avondale University</w:t>
      </w:r>
    </w:p>
    <w:p>
      <w:pPr>
        <w:spacing w:line="276" w:lineRule="auto" w:before="0" w:after="0"/>
        <w:ind w:left="283" w:firstLine="0"/>
        <w:jc w:val="both"/>
      </w:pPr>
      <w:r>
        <w:rPr>
          <w:rFonts w:ascii="Cambria" w:hAnsi="Cambria"/>
          <w:sz w:val="20"/>
        </w:rPr>
        <w:t>Mostafa Mahmoudi, AI Governance Researcher; Founder and Director, Iran Tech Diplomacy Institute; PhD candidate, University of Tehran</w:t>
      </w:r>
    </w:p>
    <w:p>
      <w:pPr>
        <w:spacing w:line="276" w:lineRule="auto" w:before="0" w:after="0"/>
        <w:ind w:left="283" w:firstLine="0"/>
        <w:jc w:val="both"/>
      </w:pPr>
      <w:r>
        <w:rPr>
          <w:rFonts w:ascii="Cambria" w:hAnsi="Cambria"/>
          <w:sz w:val="20"/>
        </w:rPr>
        <w:t>Muhammad Dauda, Programme leadership, sustainability and governance; UN SDSN Youth Nigeria; Miva Open University; PgMP</w:t>
      </w:r>
    </w:p>
    <w:p>
      <w:pPr>
        <w:spacing w:line="276" w:lineRule="auto" w:before="0" w:after="0"/>
        <w:ind w:left="283" w:firstLine="0"/>
        <w:jc w:val="both"/>
      </w:pPr>
      <w:r>
        <w:rPr>
          <w:rFonts w:ascii="Cambria" w:hAnsi="Cambria"/>
          <w:sz w:val="20"/>
        </w:rPr>
        <w:t>Nicholas Evans, AI Governance and Runtime Auditor; adversarial and non-adversarial testing; ex-USMC</w:t>
      </w:r>
    </w:p>
    <w:p>
      <w:pPr>
        <w:spacing w:line="276" w:lineRule="auto" w:before="0" w:after="0"/>
        <w:ind w:left="283" w:firstLine="0"/>
        <w:jc w:val="both"/>
      </w:pPr>
      <w:r>
        <w:rPr>
          <w:rFonts w:ascii="Cambria" w:hAnsi="Cambria"/>
          <w:sz w:val="20"/>
        </w:rPr>
        <w:t>Nigel Hee, AI Ethics, Safety and Governance; University of Glasgow</w:t>
      </w:r>
    </w:p>
    <w:p>
      <w:pPr>
        <w:spacing w:line="276" w:lineRule="auto" w:before="0" w:after="0"/>
        <w:ind w:left="283" w:firstLine="0"/>
        <w:jc w:val="both"/>
      </w:pPr>
      <w:r>
        <w:rPr>
          <w:rFonts w:ascii="Cambria" w:hAnsi="Cambria"/>
          <w:sz w:val="20"/>
        </w:rPr>
        <w:t>Olabanji Lawal, Operations and records management; ALTV</w:t>
      </w:r>
    </w:p>
    <w:p>
      <w:pPr>
        <w:spacing w:line="276" w:lineRule="auto" w:before="0" w:after="0"/>
        <w:ind w:left="283" w:firstLine="0"/>
        <w:jc w:val="both"/>
      </w:pPr>
      <w:r>
        <w:rPr>
          <w:rFonts w:ascii="Cambria" w:hAnsi="Cambria"/>
          <w:sz w:val="20"/>
        </w:rPr>
        <w:t>Priyam Dhamankar, Ethics and Compliance Leader, Cummins India Limited; 17+ years legal, compliance and investigations</w:t>
      </w:r>
    </w:p>
    <w:p>
      <w:pPr>
        <w:spacing w:line="276" w:lineRule="auto" w:before="0" w:after="0"/>
        <w:ind w:left="283" w:firstLine="0"/>
        <w:jc w:val="both"/>
      </w:pPr>
      <w:r>
        <w:rPr>
          <w:rFonts w:ascii="Cambria" w:hAnsi="Cambria"/>
          <w:sz w:val="20"/>
        </w:rPr>
        <w:t>Rahul Potdar, Independent Director; Corporate Governance, Risk Management and ESG Strategy; Board Adviser; Leontra Technologies; IIM Raipur</w:t>
      </w:r>
    </w:p>
    <w:p>
      <w:pPr>
        <w:spacing w:line="276" w:lineRule="auto" w:before="0" w:after="0"/>
        <w:ind w:left="283" w:firstLine="0"/>
        <w:jc w:val="both"/>
      </w:pPr>
      <w:r>
        <w:rPr>
          <w:rFonts w:ascii="Cambria" w:hAnsi="Cambria"/>
          <w:sz w:val="20"/>
        </w:rPr>
        <w:t>Sagarika Banerjee, AI Governance and Software QA Leader; ISO/IEC 42001, NIST AI RMF; on sabbatical until March 2027</w:t>
      </w:r>
    </w:p>
    <w:p>
      <w:pPr>
        <w:spacing w:line="276" w:lineRule="auto" w:before="0" w:after="0"/>
        <w:ind w:left="283" w:firstLine="0"/>
        <w:jc w:val="both"/>
      </w:pPr>
      <w:r>
        <w:rPr>
          <w:rFonts w:ascii="Cambria" w:hAnsi="Cambria"/>
          <w:sz w:val="20"/>
        </w:rPr>
        <w:t>Saurabh Nanda, General Manager, APAC; healthcare</w:t>
      </w:r>
    </w:p>
    <w:p>
      <w:pPr>
        <w:spacing w:line="276" w:lineRule="auto" w:before="0" w:after="0"/>
        <w:ind w:left="283" w:firstLine="0"/>
        <w:jc w:val="both"/>
      </w:pPr>
      <w:r>
        <w:rPr>
          <w:rFonts w:ascii="Cambria" w:hAnsi="Cambria"/>
          <w:sz w:val="20"/>
        </w:rPr>
        <w:t>Sidharth Borah, Advocate, High Court of Delhi; Partner, Gurinder and Partners</w:t>
      </w:r>
    </w:p>
    <w:p>
      <w:pPr>
        <w:spacing w:line="276" w:lineRule="auto" w:before="0" w:after="0"/>
        <w:ind w:left="283" w:firstLine="0"/>
        <w:jc w:val="both"/>
      </w:pPr>
      <w:r>
        <w:rPr>
          <w:rFonts w:ascii="Cambria" w:hAnsi="Cambria"/>
          <w:sz w:val="20"/>
        </w:rPr>
        <w:t>Stacyann Young, Public records and FOIL practice; Independent Researcher</w:t>
      </w:r>
    </w:p>
    <w:p>
      <w:pPr>
        <w:spacing w:line="276" w:lineRule="auto" w:before="0" w:after="0"/>
        <w:ind w:left="283" w:firstLine="0"/>
        <w:jc w:val="both"/>
      </w:pPr>
      <w:r>
        <w:rPr>
          <w:rFonts w:ascii="Cambria" w:hAnsi="Cambria"/>
          <w:sz w:val="20"/>
        </w:rPr>
        <w:t>SungSoo In, Independent Researcher; Founder, Athena Governance Architecture</w:t>
      </w:r>
    </w:p>
    <w:p>
      <w:pPr>
        <w:spacing w:line="276" w:lineRule="auto" w:before="0" w:after="0"/>
        <w:ind w:left="283" w:firstLine="0"/>
        <w:jc w:val="both"/>
      </w:pPr>
      <w:r>
        <w:rPr>
          <w:rFonts w:ascii="Cambria" w:hAnsi="Cambria"/>
          <w:sz w:val="20"/>
        </w:rPr>
        <w:t>Wendy Ann Martel, Founder and Strategic Advisor, Data, Privacy &amp; AI Governance; Evata Consulting</w:t>
      </w:r>
    </w:p>
    <w:p>
      <w:pPr>
        <w:spacing w:line="276" w:lineRule="auto" w:before="0" w:after="0"/>
        <w:ind w:firstLine="283"/>
        <w:jc w:val="both"/>
      </w:pPr>
      <w:r>
        <w:rPr>
          <w:rFonts w:ascii="Cambria" w:hAnsi="Cambria"/>
          <w:sz w:val="20"/>
        </w:rPr>
        <w:t>Five further contributors chose not to be named. Their judgments are counted in every figure reported here, and they appear nowhere by name.</w:t>
      </w:r>
    </w:p>
    <w:p>
      <w:pPr>
        <w:pStyle w:val="ARPLevel1Style"/>
      </w:pPr>
      <w:r>
        <w:t>STATEMENT ON THE USE OF AI TOOLS</w:t>
      </w:r>
    </w:p>
    <w:p>
      <w:pPr>
        <w:spacing w:line="276" w:lineRule="auto" w:before="0" w:after="0"/>
        <w:ind w:firstLine="283"/>
        <w:jc w:val="both"/>
      </w:pPr>
      <w:r>
        <w:rPr>
          <w:rFonts w:ascii="Cambria" w:hAnsi="Cambria"/>
          <w:sz w:val="2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t>FUNDING</w:t>
      </w:r>
    </w:p>
    <w:p>
      <w:pPr>
        <w:spacing w:line="276" w:lineRule="auto" w:before="0" w:after="0"/>
        <w:ind w:firstLine="283"/>
        <w:jc w:val="both"/>
      </w:pPr>
      <w:r>
        <w:rPr>
          <w:rFonts w:ascii="Cambria" w:hAnsi="Cambria"/>
          <w:sz w:val="20"/>
        </w:rPr>
        <w:t>There is no funding for this research.</w:t>
      </w:r>
    </w:p>
    <w:p>
      <w:pPr>
        <w:pStyle w:val="ARPLevel1Style"/>
      </w:pPr>
      <w:r>
        <w:t>CONFLICT OF INTEREST</w:t>
      </w:r>
    </w:p>
    <w:p>
      <w:pPr>
        <w:spacing w:line="276" w:lineRule="auto" w:before="0" w:after="0"/>
        <w:ind w:firstLine="283"/>
        <w:jc w:val="both"/>
      </w:pPr>
      <w:r>
        <w:rPr>
          <w:rFonts w:ascii="Cambria" w:hAnsi="Cambria"/>
          <w:sz w:val="2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t>DATA AVAILABILITY STATEMENT</w:t>
      </w:r>
    </w:p>
    <w:p>
      <w:pPr>
        <w:spacing w:line="276" w:lineRule="auto" w:before="0" w:after="0"/>
        <w:ind w:firstLine="283"/>
        <w:jc w:val="both"/>
      </w:pPr>
      <w:r>
        <w:rPr>
          <w:rFonts w:ascii="Cambria" w:hAnsi="Cambria"/>
          <w:sz w:val="20"/>
        </w:rPr>
        <w:t>The 24 constructed records, the reference classification with the reason for each record, the instructions given to the automated raters and their record-by-record results, aggregate result tables and the analysis scripts are available from the corresponding author on reasonable request. Participants consented to the use of their responses in aggregate, so individual reviewer responses are not publicly shared; de-identified participant-level data are available from the corresponding author on reasonable request. A complete record-level generation log was not retained.</w:t>
      </w:r>
    </w:p>
    <w:p>
      <w:pPr>
        <w:pStyle w:val="ARPLevel1Style"/>
      </w:pPr>
      <w:r>
        <w:t>INFORMED CONSENT STATEMENT</w:t>
      </w:r>
    </w:p>
    <w:p>
      <w:pPr>
        <w:spacing w:line="276" w:lineRule="auto" w:before="0" w:after="0"/>
        <w:ind w:firstLine="283"/>
        <w:jc w:val="both"/>
      </w:pPr>
      <w:r>
        <w:rPr>
          <w:rFonts w:ascii="Cambria" w:hAnsi="Cambria"/>
          <w:sz w:val="20"/>
        </w:rPr>
        <w:t>This study was not reviewed by an institutional review board or ethics committee. It was conducted outside any institution holding one, by independent researchers, with adult professional volunteers making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t>REFERENCES</w:t>
      </w:r>
    </w:p>
    <w:p>
      <w:pPr>
        <w:spacing w:line="276" w:lineRule="auto" w:before="0" w:after="60"/>
        <w:ind w:left="283" w:hanging="283"/>
        <w:jc w:val="left"/>
      </w:pPr>
      <w:r>
        <w:rPr>
          <w:rFonts w:ascii="Cambria" w:hAnsi="Cambria"/>
          <w:sz w:val="20"/>
        </w:rPr>
        <w:t xml:space="preserve">Ananny, M., &amp; Crawford, K. (2018). Seeing without knowing: Limitations of the transparency ideal and its application to algorithmic accountability. </w:t>
      </w:r>
      <w:r>
        <w:rPr>
          <w:rFonts w:ascii="Cambria" w:hAnsi="Cambria"/>
          <w:i/>
          <w:sz w:val="20"/>
        </w:rPr>
        <w:t>New Media &amp; Society, 20</w:t>
      </w:r>
      <w:r>
        <w:rPr>
          <w:rFonts w:ascii="Cambria" w:hAnsi="Cambria"/>
          <w:sz w:val="20"/>
        </w:rPr>
        <w:t>(3), 973–989. https://doi.org/10.1177/1461444816676645</w:t>
      </w:r>
    </w:p>
    <w:p>
      <w:pPr>
        <w:spacing w:line="276" w:lineRule="auto" w:before="0" w:after="60"/>
        <w:ind w:left="283" w:hanging="283"/>
        <w:jc w:val="left"/>
      </w:pPr>
      <w:r>
        <w:rPr>
          <w:rFonts w:ascii="Cambria" w:hAnsi="Cambria"/>
          <w:sz w:val="20"/>
        </w:rPr>
        <w:t xml:space="preserve">Barr, D. J., Levy, R., Scheepers, C., &amp; Tily, H. J. (2013). Random effects structure for confirmatory hypothesis testing: Keep it maximal. </w:t>
      </w:r>
      <w:r>
        <w:rPr>
          <w:rFonts w:ascii="Cambria" w:hAnsi="Cambria"/>
          <w:i/>
          <w:sz w:val="20"/>
        </w:rPr>
        <w:t>Journal of Memory and Language, 68</w:t>
      </w:r>
      <w:r>
        <w:rPr>
          <w:rFonts w:ascii="Cambria" w:hAnsi="Cambria"/>
          <w:sz w:val="20"/>
        </w:rPr>
        <w:t>(3), 255–278. https://doi.org/10.1016/j.jml.2012.11.001</w:t>
      </w:r>
    </w:p>
    <w:p>
      <w:pPr>
        <w:spacing w:line="276" w:lineRule="auto" w:before="0" w:after="60"/>
        <w:ind w:left="283" w:hanging="283"/>
        <w:jc w:val="left"/>
      </w:pPr>
      <w:r>
        <w:rPr>
          <w:rFonts w:ascii="Cambria" w:hAnsi="Cambria"/>
          <w:sz w:val="20"/>
        </w:rPr>
        <w:t xml:space="preserve">Bates, D., Mächler, M., Bolker, B., &amp; Walker, S. (2015). Fitting linear mixed-effects models using lme4. </w:t>
      </w:r>
      <w:r>
        <w:rPr>
          <w:rFonts w:ascii="Cambria" w:hAnsi="Cambria"/>
          <w:i/>
          <w:sz w:val="20"/>
        </w:rPr>
        <w:t>Journal of Statistical Software, 67</w:t>
      </w:r>
      <w:r>
        <w:rPr>
          <w:rFonts w:ascii="Cambria" w:hAnsi="Cambria"/>
          <w:sz w:val="20"/>
        </w:rPr>
        <w:t>(1), 1–48. https://doi.org/10.18637/jss.v067.i01</w:t>
      </w:r>
    </w:p>
    <w:p>
      <w:pPr>
        <w:spacing w:line="276" w:lineRule="auto" w:before="0" w:after="60"/>
        <w:ind w:left="283" w:hanging="283"/>
        <w:jc w:val="left"/>
      </w:pPr>
      <w:r>
        <w:rPr>
          <w:rFonts w:ascii="Cambria" w:hAnsi="Cambria"/>
          <w:sz w:val="20"/>
        </w:rPr>
        <w:t xml:space="preserve">Bender, E. M., Gebru, T., McMillan-Major, A., &amp; Shmitchell, S. (2021). On the dangers of stochastic parrots: Can language models be too big? In </w:t>
      </w:r>
      <w:r>
        <w:rPr>
          <w:rFonts w:ascii="Cambria" w:hAnsi="Cambria"/>
          <w:i/>
          <w:sz w:val="20"/>
        </w:rPr>
        <w:t>Proceedings of the 2021 ACM Conference on Fairness, Accountability, and Transparency</w:t>
      </w:r>
      <w:r>
        <w:rPr>
          <w:rFonts w:ascii="Cambria" w:hAnsi="Cambria"/>
          <w:sz w:val="20"/>
        </w:rPr>
        <w:t xml:space="preserve"> (pp. 610–623). ACM. https://doi.org/10.1145/3442188.3445922</w:t>
      </w:r>
    </w:p>
    <w:p>
      <w:pPr>
        <w:spacing w:line="276" w:lineRule="auto" w:before="0" w:after="60"/>
        <w:ind w:left="283" w:hanging="283"/>
        <w:jc w:val="left"/>
      </w:pPr>
      <w:r>
        <w:rPr>
          <w:rFonts w:ascii="Cambria" w:hAnsi="Cambria"/>
          <w:sz w:val="20"/>
        </w:rPr>
        <w:t xml:space="preserve">Bovens, M. (2007). Analysing and assessing accountability: A conceptual framework. </w:t>
      </w:r>
      <w:r>
        <w:rPr>
          <w:rFonts w:ascii="Cambria" w:hAnsi="Cambria"/>
          <w:i/>
          <w:sz w:val="20"/>
        </w:rPr>
        <w:t>European Law Journal, 13</w:t>
      </w:r>
      <w:r>
        <w:rPr>
          <w:rFonts w:ascii="Cambria" w:hAnsi="Cambria"/>
          <w:sz w:val="20"/>
        </w:rPr>
        <w:t>(4), 447–468. https://doi.org/10.1111/j.1468-0386.2007.00378.x</w:t>
      </w:r>
    </w:p>
    <w:p>
      <w:pPr>
        <w:spacing w:line="276" w:lineRule="auto" w:before="0" w:after="60"/>
        <w:ind w:left="283" w:hanging="283"/>
        <w:jc w:val="left"/>
      </w:pPr>
      <w:r>
        <w:rPr>
          <w:rFonts w:ascii="Cambria" w:hAnsi="Cambria"/>
          <w:sz w:val="20"/>
        </w:rPr>
        <w:t xml:space="preserve">Byrt, T., Bishop, J., &amp; Carlin, J. B. (1993). Bias, prevalence and kappa. </w:t>
      </w:r>
      <w:r>
        <w:rPr>
          <w:rFonts w:ascii="Cambria" w:hAnsi="Cambria"/>
          <w:i/>
          <w:sz w:val="20"/>
        </w:rPr>
        <w:t>Journal of Clinical Epidemiology, 46</w:t>
      </w:r>
      <w:r>
        <w:rPr>
          <w:rFonts w:ascii="Cambria" w:hAnsi="Cambria"/>
          <w:sz w:val="20"/>
        </w:rPr>
        <w:t>(5), 423–429. https://doi.org/10.1016/0895-4356(93)90018-V</w:t>
      </w:r>
    </w:p>
    <w:p>
      <w:pPr>
        <w:spacing w:line="276" w:lineRule="auto" w:before="0" w:after="60"/>
        <w:ind w:left="283" w:hanging="283"/>
        <w:jc w:val="left"/>
      </w:pPr>
      <w:r>
        <w:rPr>
          <w:rFonts w:ascii="Cambria" w:hAnsi="Cambria"/>
          <w:sz w:val="20"/>
        </w:rPr>
        <w:t xml:space="preserve">Citron, D. K. (2008). Technological due process. </w:t>
      </w:r>
      <w:r>
        <w:rPr>
          <w:rFonts w:ascii="Cambria" w:hAnsi="Cambria"/>
          <w:i/>
          <w:sz w:val="20"/>
        </w:rPr>
        <w:t>Washington University Law Review, 85</w:t>
      </w:r>
      <w:r>
        <w:rPr>
          <w:rFonts w:ascii="Cambria" w:hAnsi="Cambria"/>
          <w:sz w:val="20"/>
        </w:rPr>
        <w:t>(6), 1249–1313.</w:t>
      </w:r>
    </w:p>
    <w:p>
      <w:pPr>
        <w:spacing w:line="276" w:lineRule="auto" w:before="0" w:after="60"/>
        <w:ind w:left="283" w:hanging="283"/>
        <w:jc w:val="left"/>
      </w:pPr>
      <w:r>
        <w:rPr>
          <w:rFonts w:ascii="Cambria" w:hAnsi="Cambria"/>
          <w:sz w:val="20"/>
        </w:rPr>
        <w:t xml:space="preserve">Cobbe, J., Lee, M. S. A., &amp; Singh, J. (2021). Reviewable automated decision-making: A framework for accountable algorithmic systems. In </w:t>
      </w:r>
      <w:r>
        <w:rPr>
          <w:rFonts w:ascii="Cambria" w:hAnsi="Cambria"/>
          <w:i/>
          <w:sz w:val="20"/>
        </w:rPr>
        <w:t>Proceedings of the 2021 ACM Conference on Fairness, Accountability, and Transparency</w:t>
      </w:r>
      <w:r>
        <w:rPr>
          <w:rFonts w:ascii="Cambria" w:hAnsi="Cambria"/>
          <w:sz w:val="20"/>
        </w:rPr>
        <w:t xml:space="preserve"> (pp. 598–609). ACM. https://doi.org/10.1145/3442188.3445921</w:t>
      </w:r>
    </w:p>
    <w:p>
      <w:pPr>
        <w:spacing w:line="276" w:lineRule="auto" w:before="0" w:after="60"/>
        <w:ind w:left="283" w:hanging="283"/>
        <w:jc w:val="left"/>
      </w:pPr>
      <w:r>
        <w:rPr>
          <w:rFonts w:ascii="Cambria" w:hAnsi="Cambria"/>
          <w:sz w:val="20"/>
        </w:rPr>
        <w:t xml:space="preserve">European Union. (2024). Regulation (EU) 2024/1689 of the European Parliament and of the Council of 13 June 2024 laying down harmonised rules on artificial intelligence (Artificial Intelligence Act). </w:t>
      </w:r>
      <w:r>
        <w:rPr>
          <w:rFonts w:ascii="Cambria" w:hAnsi="Cambria"/>
          <w:i/>
          <w:sz w:val="20"/>
        </w:rPr>
        <w:t>Official Journal of the European Union</w:t>
      </w:r>
      <w:r>
        <w:rPr>
          <w:rFonts w:ascii="Cambria" w:hAnsi="Cambria"/>
          <w:sz w:val="20"/>
        </w:rPr>
        <w:t>, L, 2024/1689.</w:t>
      </w:r>
    </w:p>
    <w:p>
      <w:pPr>
        <w:spacing w:line="276" w:lineRule="auto" w:before="0" w:after="60"/>
        <w:ind w:left="283" w:hanging="283"/>
        <w:jc w:val="left"/>
      </w:pPr>
      <w:r>
        <w:rPr>
          <w:rFonts w:ascii="Cambria" w:hAnsi="Cambria"/>
          <w:sz w:val="20"/>
        </w:rPr>
        <w:t xml:space="preserve">Feinstein, A. R., &amp; Cicchetti, D. V. (1990). High agreement but low kappa: I. The problems of two paradoxes. </w:t>
      </w:r>
      <w:r>
        <w:rPr>
          <w:rFonts w:ascii="Cambria" w:hAnsi="Cambria"/>
          <w:i/>
          <w:sz w:val="20"/>
        </w:rPr>
        <w:t>Journal of Clinical Epidemiology, 43</w:t>
      </w:r>
      <w:r>
        <w:rPr>
          <w:rFonts w:ascii="Cambria" w:hAnsi="Cambria"/>
          <w:sz w:val="20"/>
        </w:rPr>
        <w:t>(6), 543–549. https://doi.org/10.1016/0895-4356(90)90158-L</w:t>
      </w:r>
    </w:p>
    <w:p>
      <w:pPr>
        <w:spacing w:line="276" w:lineRule="auto" w:before="0" w:after="60"/>
        <w:ind w:left="283" w:hanging="283"/>
        <w:jc w:val="left"/>
      </w:pPr>
      <w:r>
        <w:rPr>
          <w:rFonts w:ascii="Cambria" w:hAnsi="Cambria"/>
          <w:sz w:val="20"/>
        </w:rPr>
        <w:t xml:space="preserve">Fleiss, J. L. (1971). Measuring nominal scale agreement among many raters. </w:t>
      </w:r>
      <w:r>
        <w:rPr>
          <w:rFonts w:ascii="Cambria" w:hAnsi="Cambria"/>
          <w:i/>
          <w:sz w:val="20"/>
        </w:rPr>
        <w:t>Psychological Bulletin, 76</w:t>
      </w:r>
      <w:r>
        <w:rPr>
          <w:rFonts w:ascii="Cambria" w:hAnsi="Cambria"/>
          <w:sz w:val="20"/>
        </w:rPr>
        <w:t>(5), 378–382. https://doi.org/10.1037/h0031619</w:t>
      </w:r>
    </w:p>
    <w:p>
      <w:pPr>
        <w:spacing w:line="276" w:lineRule="auto" w:before="0" w:after="60"/>
        <w:ind w:left="283" w:hanging="283"/>
        <w:jc w:val="left"/>
      </w:pPr>
      <w:r>
        <w:rPr>
          <w:rFonts w:ascii="Cambria" w:hAnsi="Cambria"/>
          <w:sz w:val="20"/>
        </w:rPr>
        <w:t xml:space="preserve">Frimpong, V. (2026). The challenge of context-free validity: Introducing the contextual research validity index framework for situated legitimacy under socioeconomic challenges. </w:t>
      </w:r>
      <w:r>
        <w:rPr>
          <w:rFonts w:ascii="Cambria" w:hAnsi="Cambria"/>
          <w:i/>
          <w:sz w:val="20"/>
        </w:rPr>
        <w:t>SocioEconomic Challenges, 10</w:t>
      </w:r>
      <w:r>
        <w:rPr>
          <w:rFonts w:ascii="Cambria" w:hAnsi="Cambria"/>
          <w:sz w:val="20"/>
        </w:rPr>
        <w:t>(1), 42–49. https://doi.org/10.61093/sec.10(1).42-49.2026</w:t>
      </w:r>
    </w:p>
    <w:p>
      <w:pPr>
        <w:spacing w:line="276" w:lineRule="auto" w:before="0" w:after="60"/>
        <w:ind w:left="283" w:hanging="283"/>
        <w:jc w:val="left"/>
      </w:pPr>
      <w:r>
        <w:rPr>
          <w:rFonts w:ascii="Cambria" w:hAnsi="Cambria"/>
          <w:sz w:val="20"/>
        </w:rPr>
        <w:t xml:space="preserve">Gebru, T., Morgenstern, J., Vecchione, B., Vaughan, J. W., Wallach, H., Daumé III, H., &amp; Crawford, K. (2021). Datasheets for datasets. </w:t>
      </w:r>
      <w:r>
        <w:rPr>
          <w:rFonts w:ascii="Cambria" w:hAnsi="Cambria"/>
          <w:i/>
          <w:sz w:val="20"/>
        </w:rPr>
        <w:t>Communications of the ACM, 64</w:t>
      </w:r>
      <w:r>
        <w:rPr>
          <w:rFonts w:ascii="Cambria" w:hAnsi="Cambria"/>
          <w:sz w:val="20"/>
        </w:rPr>
        <w:t>(12), 86–92. https://doi.org/10.1145/3458723</w:t>
      </w:r>
    </w:p>
    <w:p>
      <w:pPr>
        <w:spacing w:line="276" w:lineRule="auto" w:before="0" w:after="60"/>
        <w:ind w:left="283" w:hanging="283"/>
        <w:jc w:val="left"/>
      </w:pPr>
      <w:r>
        <w:rPr>
          <w:rFonts w:ascii="Cambria" w:hAnsi="Cambria"/>
          <w:sz w:val="20"/>
        </w:rPr>
        <w:t xml:space="preserve">Grimmelikhuijsen, S., &amp; Meijer, A. (2014). Effects of transparency on the perceived trustworthiness of a government organization: Evidence from an online experiment. </w:t>
      </w:r>
      <w:r>
        <w:rPr>
          <w:rFonts w:ascii="Cambria" w:hAnsi="Cambria"/>
          <w:i/>
          <w:sz w:val="20"/>
        </w:rPr>
        <w:t>Journal of Public Administration Research and Theory, 24</w:t>
      </w:r>
      <w:r>
        <w:rPr>
          <w:rFonts w:ascii="Cambria" w:hAnsi="Cambria"/>
          <w:sz w:val="20"/>
        </w:rPr>
        <w:t>(1), 137–157. https://doi.org/10.1093/jopart/mus048</w:t>
      </w:r>
    </w:p>
    <w:p>
      <w:pPr>
        <w:spacing w:line="276" w:lineRule="auto" w:before="0" w:after="60"/>
        <w:ind w:left="283" w:hanging="283"/>
        <w:jc w:val="left"/>
      </w:pPr>
      <w:r>
        <w:rPr>
          <w:rFonts w:ascii="Cambria" w:hAnsi="Cambria"/>
          <w:sz w:val="20"/>
        </w:rPr>
        <w:t xml:space="preserve">Gwet, K. L. (2008). Computing inter-rater reliability and its variance in the presence of high agreement. </w:t>
      </w:r>
      <w:r>
        <w:rPr>
          <w:rFonts w:ascii="Cambria" w:hAnsi="Cambria"/>
          <w:i/>
          <w:sz w:val="20"/>
        </w:rPr>
        <w:t>British Journal of Mathematical and Statistical Psychology, 61</w:t>
      </w:r>
      <w:r>
        <w:rPr>
          <w:rFonts w:ascii="Cambria" w:hAnsi="Cambria"/>
          <w:sz w:val="20"/>
        </w:rPr>
        <w:t>(1), 29–48. https://doi.org/10.1348/000711006X126600</w:t>
      </w:r>
    </w:p>
    <w:p>
      <w:pPr>
        <w:spacing w:line="276" w:lineRule="auto" w:before="0" w:after="60"/>
        <w:ind w:left="283" w:hanging="283"/>
        <w:jc w:val="left"/>
      </w:pPr>
      <w:r>
        <w:rPr>
          <w:rFonts w:ascii="Cambria" w:hAnsi="Cambria"/>
          <w:sz w:val="20"/>
        </w:rPr>
        <w:t xml:space="preserve">Jacobs, A. Z., &amp; Wallach, H. (2021). Measurement and fairness. In </w:t>
      </w:r>
      <w:r>
        <w:rPr>
          <w:rFonts w:ascii="Cambria" w:hAnsi="Cambria"/>
          <w:i/>
          <w:sz w:val="20"/>
        </w:rPr>
        <w:t>Proceedings of the 2021 ACM Conference on Fairness, Accountability, and Transparency</w:t>
      </w:r>
      <w:r>
        <w:rPr>
          <w:rFonts w:ascii="Cambria" w:hAnsi="Cambria"/>
          <w:sz w:val="20"/>
        </w:rPr>
        <w:t xml:space="preserve"> (pp. 375–385). ACM. https://doi.org/10.1145/3442188.3445901</w:t>
      </w:r>
    </w:p>
    <w:p>
      <w:pPr>
        <w:spacing w:line="276" w:lineRule="auto" w:before="0" w:after="60"/>
        <w:ind w:left="283" w:hanging="283"/>
        <w:jc w:val="left"/>
      </w:pPr>
      <w:r>
        <w:rPr>
          <w:rFonts w:ascii="Cambria" w:hAnsi="Cambria"/>
          <w:sz w:val="20"/>
        </w:rPr>
        <w:t xml:space="preserve">Ji, Z., Lee, N., Frieske, R., Yu, T., Su, D., Xu, Y., Ishii, E., Bang, Y. J., Madotto, A., &amp; Fung, P. (2023). Survey of hallucination in natural language generation. </w:t>
      </w:r>
      <w:r>
        <w:rPr>
          <w:rFonts w:ascii="Cambria" w:hAnsi="Cambria"/>
          <w:i/>
          <w:sz w:val="20"/>
        </w:rPr>
        <w:t>ACM Computing Surveys, 55</w:t>
      </w:r>
      <w:r>
        <w:rPr>
          <w:rFonts w:ascii="Cambria" w:hAnsi="Cambria"/>
          <w:sz w:val="20"/>
        </w:rPr>
        <w:t>(12), 1–38. https://doi.org/10.1145/3571730</w:t>
      </w:r>
    </w:p>
    <w:p>
      <w:pPr>
        <w:spacing w:line="276" w:lineRule="auto" w:before="0" w:after="60"/>
        <w:ind w:left="283" w:hanging="283"/>
        <w:jc w:val="left"/>
      </w:pPr>
      <w:r>
        <w:rPr>
          <w:rFonts w:ascii="Cambria" w:hAnsi="Cambria"/>
          <w:sz w:val="20"/>
        </w:rPr>
        <w:t xml:space="preserve">Kaminski, M. E., &amp; Urban, J. M. (2021). The right to contest AI. </w:t>
      </w:r>
      <w:r>
        <w:rPr>
          <w:rFonts w:ascii="Cambria" w:hAnsi="Cambria"/>
          <w:i/>
          <w:sz w:val="20"/>
        </w:rPr>
        <w:t>Columbia Law Review, 121</w:t>
      </w:r>
      <w:r>
        <w:rPr>
          <w:rFonts w:ascii="Cambria" w:hAnsi="Cambria"/>
          <w:sz w:val="20"/>
        </w:rPr>
        <w:t>(7), 1957–2048.</w:t>
      </w:r>
    </w:p>
    <w:p>
      <w:pPr>
        <w:spacing w:line="276" w:lineRule="auto" w:before="0" w:after="60"/>
        <w:ind w:left="283" w:hanging="283"/>
        <w:jc w:val="left"/>
      </w:pPr>
      <w:r>
        <w:rPr>
          <w:rFonts w:ascii="Cambria" w:hAnsi="Cambria"/>
          <w:sz w:val="20"/>
        </w:rPr>
        <w:t xml:space="preserve">Krippendorff, K. (2004). </w:t>
      </w:r>
      <w:r>
        <w:rPr>
          <w:rFonts w:ascii="Cambria" w:hAnsi="Cambria"/>
          <w:i/>
          <w:sz w:val="20"/>
        </w:rPr>
        <w:t>Content analysis: An introduction to its methodology</w:t>
      </w:r>
      <w:r>
        <w:rPr>
          <w:rFonts w:ascii="Cambria" w:hAnsi="Cambria"/>
          <w:sz w:val="20"/>
        </w:rPr>
        <w:t xml:space="preserve"> (2nd ed.). Sage.</w:t>
      </w:r>
    </w:p>
    <w:p>
      <w:pPr>
        <w:spacing w:line="276" w:lineRule="auto" w:before="0" w:after="60"/>
        <w:ind w:left="283" w:hanging="283"/>
        <w:jc w:val="left"/>
      </w:pPr>
      <w:r>
        <w:rPr>
          <w:rFonts w:ascii="Cambria" w:hAnsi="Cambria"/>
          <w:sz w:val="20"/>
        </w:rPr>
        <w:t xml:space="preserve">Mashaw, J. L. (1983). </w:t>
      </w:r>
      <w:r>
        <w:rPr>
          <w:rFonts w:ascii="Cambria" w:hAnsi="Cambria"/>
          <w:i/>
          <w:sz w:val="20"/>
        </w:rPr>
        <w:t>Bureaucratic justice: Managing social security disability claims</w:t>
      </w:r>
      <w:r>
        <w:rPr>
          <w:rFonts w:ascii="Cambria" w:hAnsi="Cambria"/>
          <w:sz w:val="20"/>
        </w:rPr>
        <w:t>. Yale University Press.</w:t>
      </w:r>
    </w:p>
    <w:p>
      <w:pPr>
        <w:spacing w:line="276" w:lineRule="auto" w:before="0" w:after="60"/>
        <w:ind w:left="283" w:hanging="283"/>
        <w:jc w:val="left"/>
      </w:pPr>
      <w:r>
        <w:rPr>
          <w:rFonts w:ascii="Cambria" w:hAnsi="Cambria"/>
          <w:sz w:val="20"/>
        </w:rPr>
        <w:t xml:space="preserve">Mitchell, M., Wu, S., Zaldivar, A., Barnes, P., Vasserman, L., Hutchinson, B., Spitzer, E., Raji, I. D., &amp; Gebru, T. (2019). Model cards for model reporting. In </w:t>
      </w:r>
      <w:r>
        <w:rPr>
          <w:rFonts w:ascii="Cambria" w:hAnsi="Cambria"/>
          <w:i/>
          <w:sz w:val="20"/>
        </w:rPr>
        <w:t>Proceedings of the Conference on Fairness, Accountability, and Transparency</w:t>
      </w:r>
      <w:r>
        <w:rPr>
          <w:rFonts w:ascii="Cambria" w:hAnsi="Cambria"/>
          <w:sz w:val="20"/>
        </w:rPr>
        <w:t xml:space="preserve"> (pp. 220–229). ACM. https://doi.org/10.1145/3287560.3287596</w:t>
      </w:r>
    </w:p>
    <w:p>
      <w:pPr>
        <w:spacing w:line="276" w:lineRule="auto" w:before="0" w:after="60"/>
        <w:ind w:left="283" w:hanging="283"/>
        <w:jc w:val="left"/>
      </w:pPr>
      <w:r>
        <w:rPr>
          <w:rFonts w:ascii="Cambria" w:hAnsi="Cambria"/>
          <w:sz w:val="20"/>
        </w:rPr>
        <w:t xml:space="preserve">Mushkudiani, Z., Tchanturia, N., Dalakishvili, R., Surmanidze, N., &amp; Mushtaq, N. (2026). Socioeconomic challenges of artificial intelligence-driven digital transformation: The functional mechanism model. </w:t>
      </w:r>
      <w:r>
        <w:rPr>
          <w:rFonts w:ascii="Cambria" w:hAnsi="Cambria"/>
          <w:i/>
          <w:sz w:val="20"/>
        </w:rPr>
        <w:t>SocioEconomic Challenges, 10</w:t>
      </w:r>
      <w:r>
        <w:rPr>
          <w:rFonts w:ascii="Cambria" w:hAnsi="Cambria"/>
          <w:sz w:val="20"/>
        </w:rPr>
        <w:t>(3), 40–62. https://doi.org/10.61093/sec.10(3).40-62.2026</w:t>
      </w:r>
    </w:p>
    <w:p>
      <w:pPr>
        <w:spacing w:line="276" w:lineRule="auto" w:before="0" w:after="60"/>
        <w:ind w:left="283" w:hanging="283"/>
        <w:jc w:val="left"/>
      </w:pPr>
      <w:r>
        <w:rPr>
          <w:rFonts w:ascii="Cambria" w:hAnsi="Cambria"/>
          <w:sz w:val="20"/>
        </w:rPr>
        <w:t xml:space="preserve">van der Nest, D. P., &amp; Sheik, I. (2026). Algorithmic management and socioeconomic challenges: A systematic review of worker voice and AI assurance. </w:t>
      </w:r>
      <w:r>
        <w:rPr>
          <w:rFonts w:ascii="Cambria" w:hAnsi="Cambria"/>
          <w:i/>
          <w:sz w:val="20"/>
        </w:rPr>
        <w:t>SocioEconomic Challenges, 10</w:t>
      </w:r>
      <w:r>
        <w:rPr>
          <w:rFonts w:ascii="Cambria" w:hAnsi="Cambria"/>
          <w:sz w:val="20"/>
        </w:rPr>
        <w:t>(3), 214–239. https://doi.org/10.61093/sec.10(3).214-239.2026</w:t>
      </w:r>
    </w:p>
    <w:p>
      <w:pPr>
        <w:spacing w:line="276" w:lineRule="auto" w:before="0" w:after="60"/>
        <w:ind w:left="283" w:hanging="283"/>
        <w:jc w:val="left"/>
      </w:pPr>
      <w:r>
        <w:rPr>
          <w:rFonts w:ascii="Cambria" w:hAnsi="Cambria"/>
          <w:sz w:val="20"/>
        </w:rPr>
        <w:t xml:space="preserve">OECD. (2017). </w:t>
      </w:r>
      <w:r>
        <w:rPr>
          <w:rFonts w:ascii="Cambria" w:hAnsi="Cambria"/>
          <w:i/>
          <w:sz w:val="20"/>
        </w:rPr>
        <w:t>Trust and public policy: How better governance can help rebuild public trust</w:t>
      </w:r>
      <w:r>
        <w:rPr>
          <w:rFonts w:ascii="Cambria" w:hAnsi="Cambria"/>
          <w:sz w:val="20"/>
        </w:rPr>
        <w:t>. OECD Publishing. https://doi.org/10.1787/9789264268920-en</w:t>
      </w:r>
    </w:p>
    <w:p>
      <w:pPr>
        <w:spacing w:line="276" w:lineRule="auto" w:before="0" w:after="60"/>
        <w:ind w:left="283" w:hanging="283"/>
        <w:jc w:val="left"/>
      </w:pPr>
      <w:r>
        <w:rPr>
          <w:rFonts w:ascii="Cambria" w:hAnsi="Cambria"/>
          <w:sz w:val="20"/>
        </w:rPr>
        <w:t xml:space="preserve">Oluka, A. (2026). Irregular and wasteful expenditure as socio-economic challenges for local municipalities: RegTech and SupTech as digital mechanisms of compliance and oversight. </w:t>
      </w:r>
      <w:r>
        <w:rPr>
          <w:rFonts w:ascii="Cambria" w:hAnsi="Cambria"/>
          <w:i/>
          <w:sz w:val="20"/>
        </w:rPr>
        <w:t>SocioEconomic Challenges, 10</w:t>
      </w:r>
      <w:r>
        <w:rPr>
          <w:rFonts w:ascii="Cambria" w:hAnsi="Cambria"/>
          <w:sz w:val="20"/>
        </w:rPr>
        <w:t>(3), 17–39. https://doi.org/10.61093/sec.10(3).17-39.2026</w:t>
      </w:r>
    </w:p>
    <w:p>
      <w:pPr>
        <w:spacing w:line="276" w:lineRule="auto" w:before="0" w:after="60"/>
        <w:ind w:left="283" w:hanging="283"/>
        <w:jc w:val="left"/>
      </w:pPr>
      <w:r>
        <w:rPr>
          <w:rFonts w:ascii="Cambria" w:hAnsi="Cambria"/>
          <w:sz w:val="20"/>
        </w:rPr>
        <w:t xml:space="preserve">Raji, I. D., Smart, A., White, R. N., Mitchell, M., Gebru, T., Hutchinson, B., Smith-Loud, J., Theron, D., &amp; Barnes, P. (2020). Closing the AI accountability gap: Defining an end-to-end framework for internal algorithmic auditing. In </w:t>
      </w:r>
      <w:r>
        <w:rPr>
          <w:rFonts w:ascii="Cambria" w:hAnsi="Cambria"/>
          <w:i/>
          <w:sz w:val="20"/>
        </w:rPr>
        <w:t>Proceedings of the 2020 Conference on Fairness, Accountability, and Transparency</w:t>
      </w:r>
      <w:r>
        <w:rPr>
          <w:rFonts w:ascii="Cambria" w:hAnsi="Cambria"/>
          <w:sz w:val="20"/>
        </w:rPr>
        <w:t xml:space="preserve"> (pp. 33–44). ACM. https://doi.org/10.1145/3351095.3372873</w:t>
      </w:r>
    </w:p>
    <w:p>
      <w:pPr>
        <w:spacing w:line="276" w:lineRule="auto" w:before="0" w:after="60"/>
        <w:ind w:left="283" w:hanging="283"/>
        <w:jc w:val="left"/>
      </w:pPr>
      <w:r>
        <w:rPr>
          <w:rFonts w:ascii="Cambria" w:hAnsi="Cambria"/>
          <w:sz w:val="20"/>
        </w:rPr>
        <w:t xml:space="preserve">Ransohoff, D. F., &amp; Feinstein, A. R. (1978). Problems of spectrum and bias in evaluating the efficacy of diagnostic tests. </w:t>
      </w:r>
      <w:r>
        <w:rPr>
          <w:rFonts w:ascii="Cambria" w:hAnsi="Cambria"/>
          <w:i/>
          <w:sz w:val="20"/>
        </w:rPr>
        <w:t>New England Journal of Medicine, 299</w:t>
      </w:r>
      <w:r>
        <w:rPr>
          <w:rFonts w:ascii="Cambria" w:hAnsi="Cambria"/>
          <w:sz w:val="20"/>
        </w:rPr>
        <w:t>(17), 926–930. https://doi.org/10.1056/NEJM197810262991705</w:t>
      </w:r>
    </w:p>
    <w:p>
      <w:pPr>
        <w:spacing w:line="276" w:lineRule="auto" w:before="0" w:after="60"/>
        <w:ind w:left="283" w:hanging="283"/>
        <w:jc w:val="left"/>
      </w:pPr>
      <w:r>
        <w:rPr>
          <w:rFonts w:ascii="Cambria" w:hAnsi="Cambria"/>
          <w:sz w:val="20"/>
        </w:rPr>
        <w:t xml:space="preserve">Tyler, T. R. (2006). </w:t>
      </w:r>
      <w:r>
        <w:rPr>
          <w:rFonts w:ascii="Cambria" w:hAnsi="Cambria"/>
          <w:i/>
          <w:sz w:val="20"/>
        </w:rPr>
        <w:t>Why people obey the law</w:t>
      </w:r>
      <w:r>
        <w:rPr>
          <w:rFonts w:ascii="Cambria" w:hAnsi="Cambria"/>
          <w:sz w:val="20"/>
        </w:rPr>
        <w:t>. Princeton University Press.</w:t>
      </w:r>
    </w:p>
    <w:p>
      <w:pPr>
        <w:spacing w:line="276" w:lineRule="auto" w:before="0" w:after="60"/>
        <w:ind w:left="283" w:hanging="283"/>
        <w:jc w:val="left"/>
      </w:pPr>
      <w:r>
        <w:rPr>
          <w:rFonts w:ascii="Cambria" w:hAnsi="Cambria"/>
          <w:sz w:val="20"/>
        </w:rPr>
        <w:t xml:space="preserve">Whiting, P. F., Rutjes, A. W. S., Westwood, M. E., Mallett, S., Deeks, J. J., Reitsma, J. B., Leeflang, M. M. G., Sterne, J. A. C., &amp; Bossuyt, P. M. M. (2011). QUADAS-2: A revised tool for the quality assessment of diagnostic accuracy studies. </w:t>
      </w:r>
      <w:r>
        <w:rPr>
          <w:rFonts w:ascii="Cambria" w:hAnsi="Cambria"/>
          <w:i/>
          <w:sz w:val="20"/>
        </w:rPr>
        <w:t>Annals of Internal Medicine, 155</w:t>
      </w:r>
      <w:r>
        <w:rPr>
          <w:rFonts w:ascii="Cambria" w:hAnsi="Cambria"/>
          <w:sz w:val="20"/>
        </w:rPr>
        <w:t>(8), 529–536. https://doi.org/10.7326/0003-4819-155-8-201110180-00009</w:t>
      </w:r>
    </w:p>
    <w:p>
      <w:pPr>
        <w:spacing w:line="276" w:lineRule="auto" w:before="0" w:after="60"/>
        <w:ind w:left="283" w:hanging="283"/>
        <w:jc w:val="left"/>
      </w:pPr>
      <w:r>
        <w:rPr>
          <w:rFonts w:ascii="Cambria" w:hAnsi="Cambria"/>
          <w:sz w:val="20"/>
        </w:rPr>
        <w:t xml:space="preserve">Young, S., &amp; Wikes, P. (2026). </w:t>
      </w:r>
      <w:r>
        <w:rPr>
          <w:rFonts w:ascii="Cambria" w:hAnsi="Cambria"/>
          <w:i/>
          <w:sz w:val="20"/>
        </w:rPr>
        <w:t>Can public-records determinations be independently reconstructed? Evidence from 32 public cases</w:t>
      </w:r>
      <w:r>
        <w:rPr>
          <w:rFonts w:ascii="Cambria" w:hAnsi="Cambria"/>
          <w:sz w:val="20"/>
        </w:rPr>
        <w:t xml:space="preserve">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Expert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