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Documentation as a Governance Layer: Does a Structured Review Standard Identify Characteristics Associated with Defensible Public-Records Determinations?</w:t>
      </w:r>
    </w:p>
    <w:p>
      <w:pPr>
        <w:spacing w:after="140"/>
      </w:pPr>
      <w:r>
        <w:rPr>
          <w:b/>
        </w:rPr>
        <w:t xml:space="preserve">Authors:</w:t>
      </w:r>
      <w:r>
        <w:t xml:space="preserve"> Stacy Young (Records Governance Advisor and Public-Records Domain Lead; Deputy Records Access Officer, NYC Department of Housing Preservation and Development) and Phillip Wikes (creator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real determinations, recorded the JRS read for each one blind to the documented outcome, recorded the outcomes and citations, and leads the public-records domain framing. P.W. developed the Justification Review Standard (JRS) and the Decision Reconstruction Risk (DRR) construct, designed the pilot, ran the pre-registered analysis, and co-wrote the manuscript.</w:t>
      </w:r>
    </w:p>
    <w:p>
      <w:pPr>
        <w:spacing w:after="140"/>
      </w:pPr>
      <w:r>
        <w:rPr>
          <w:b/>
        </w:rPr>
        <w:t xml:space="preserve">Target journal:</w:t>
      </w:r>
      <w:r>
        <w:t xml:space="preserve"> </w:t>
      </w:r>
      <w:r>
        <w:rPr>
          <w:i/>
        </w:rPr>
        <w:t xml:space="preserve">Journal of Civic Information</w:t>
      </w:r>
      <w:r>
        <w:t xml:space="preserve"> (FOIA, public records, transparency, and government; publishes empirical research).</w:t>
      </w:r>
    </w:p>
    <w:p>
      <w:pPr>
        <w:spacing w:after="140"/>
      </w:pPr>
      <w:r>
        <w:rPr>
          <w:b/>
        </w:rPr>
        <w:t xml:space="preserve">Status (2026-08-08): DATA COLLECTION COMPLETE. Analysis run.</w:t>
      </w:r>
      <w:r>
        <w:t xml:space="preserve"> The pre-registered sample of 20 to 30 cases with a spread of outcomes has been met and exceeded: </w:t>
      </w:r>
      <w:r>
        <w:rPr>
          <w:b/>
        </w:rPr>
        <w:t xml:space="preserve">n = 32 cases from 32 distinct public sources, collected 26 June to 8 August 2026.</w:t>
      </w:r>
      <w:r>
        <w:t xml:space="preserve"> All three JRS reads and four documented outcome categories are represented. The pre-registered association test has been run and is reported below, including its null result. Every figure in this manuscript is verified against the study database rather than recalled.</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Public-records determinations under FOIA and state freedom-of-information laws are reviewed often: on administrative appeal, before an open-government body, or in Article 78 litigation. A determination can read as complete and still fail when a reviewer cannot reconstruct its basis from the record itself. As federal and state agencies modernize FOIA technology, an adjacent question is whether the records those tools help produce remain independently reviewable.</w:t>
      </w:r>
    </w:p>
    <w:p>
      <w:pPr>
        <w:spacing w:after="140"/>
      </w:pPr>
      <w:r>
        <w:rPr>
          <w:b/>
        </w:rPr>
        <w:t xml:space="preserve">Objective.</w:t>
      </w:r>
      <w:r>
        <w:t xml:space="preserve"> This pilot asks whether a structured, record-level review standard, the Justification Review Standard (JRS), identifies documentation characteristics associated with defensible public-records determinations, and whether it can serve as an outcome-quality metric that complements FOIA technology modernization rather than competing with it.</w:t>
      </w:r>
    </w:p>
    <w:p>
      <w:pPr>
        <w:spacing w:after="140"/>
      </w:pPr>
      <w:r>
        <w:rPr>
          <w:b/>
        </w:rPr>
        <w:t xml:space="preserve">Methods.</w:t>
      </w:r>
      <w:r>
        <w:t xml:space="preserve"> Thirty-two real public determinations, comprising New York and Connecticut appellate decisions, Committee on Open Government advisory opinions, Connecticut Freedom of Information Commission final decisions, and state and city compliance audits, were paired with their documented outcomes. For each case the JRS read (Ready, Needs work, or Gap) was recorded first, from the record alone and blind to the outcome; the documented outcome and a public citation were then recorded. Public material only. The primary analysis, specified before the data were examined, is the association between read and documented disposition, tested with Fisher's exact test.</w:t>
      </w:r>
    </w:p>
    <w:p>
      <w:pPr>
        <w:spacing w:after="140"/>
      </w:pPr>
      <w:r>
        <w:rPr>
          <w:b/>
        </w:rPr>
        <w:t xml:space="preserve">Result.</w:t>
      </w:r>
      <w:r>
        <w:t xml:space="preserve"> The pre-registered association test is </w:t>
      </w:r>
      <w:r>
        <w:rPr>
          <w:b/>
        </w:rPr>
        <w:t xml:space="preserve">null</w:t>
      </w:r>
      <w:r>
        <w:t xml:space="preserve">. Among the 20 determinations with a resolved disposition, 3 of 13 Ready records held up against 2 of 7 Needs work records, a difference of 5.5 percentage points in the opposite direction to the hypothesis, odds ratio 0.75, Fisher's exact two-sided p = 1.000. The JRS read did not predict whether a determination survived review in this corpus. A descriptive pattern in the audit subset is reported but is confounded by case type and is not offered as a finding.</w:t>
      </w:r>
    </w:p>
    <w:p>
      <w:pPr>
        <w:spacing w:after="140"/>
      </w:pPr>
      <w:r>
        <w:rPr>
          <w:b/>
        </w:rPr>
        <w:t xml:space="preserve">What the pilot does establish.</w:t>
      </w:r>
      <w:r>
        <w:t xml:space="preserve"> The instrument was applied to 32 real determinations across four case types and two states, blind to outcome, producing a full spread of reads. That is a working protocol for measuring documentation quality in a public-records programme, and the null is informative: on published decisions, reconstructability of the determination text does not track the appellate outcome, most likely because published cases are selected for contestedness rather than for documentation quality.</w:t>
      </w:r>
    </w:p>
    <w:p>
      <w:pPr>
        <w:spacing w:after="140"/>
      </w:pPr>
      <w:r>
        <w:rPr>
          <w:b/>
        </w:rPr>
        <w:t xml:space="preserve">Contribution.</w:t>
      </w:r>
      <w:r>
        <w:t xml:space="preserve"> DRR names a documentation-governance problem that FOIA technology inventories do not capture: whether a determination remains reconstructable and defensible on review. This pilot supplies a reusable protocol, a completed case set with citations, and an honest negative result on the association in published decisions.</w:t>
      </w:r>
    </w:p>
    <w:p>
      <w:pPr>
        <w:spacing w:after="140"/>
      </w:pPr>
      <w:r>
        <w:rPr>
          <w:b/>
        </w:rPr>
        <w:t xml:space="preserve">Keywords:</w:t>
      </w:r>
      <w:r>
        <w:t xml:space="preserve"> FOIA; public records; documentation risk; decision defensibility; records governance; administrative review; responsible AI in government.</w:t>
      </w:r>
    </w:p>
    <w:p>
      <w:pPr>
        <w:pBdr>
          <w:bottom w:val="single" w:sz="6" w:space="1" w:color="AAAAAA"/>
        </w:pBdr>
      </w:pPr>
    </w:p>
    <w:p>
      <w:pPr>
        <w:pStyle w:val="Heading2"/>
        <w:spacing w:after="140"/>
      </w:pPr>
      <w:r>
        <w:t xml:space="preserve">1. Introduction and Background</w:t>
      </w:r>
    </w:p>
    <w:p>
      <w:pPr>
        <w:pStyle w:val="Heading3"/>
        <w:spacing w:after="140"/>
      </w:pPr>
      <w:r>
        <w:t xml:space="preserve">1.1 The defensibility gap in public-records determinations</w:t>
      </w:r>
    </w:p>
    <w:p>
      <w:pPr>
        <w:spacing w:after="140"/>
      </w:pPr>
      <w:r>
        <w:t xml:space="preserve">A records officer who denies, redacts, or partially grants a request produces a written determination. That determination is the artifact a later reviewer reads: an appeals officer, an open-government commission, or a court on Article 78 review. The reviewer does not re-interview the officer's memory. The reviewer reads the record. A determination can be facially complete, professionally written, and still fail on review because the specific basis for each withholding, the exemption relied on, the records located and produced, and the reasoning connecting them cannot be reconstructed from the record itself.</w:t>
      </w:r>
    </w:p>
    <w:p>
      <w:pPr>
        <w:spacing w:after="140"/>
      </w:pPr>
      <w:r>
        <w:t xml:space="preserve">That gap is not a technology problem in the usual sense. It is a documentation-quality problem, and it decides real outcomes: whether a withholding is upheld or ordered disclosed, whether an agency's process reads as reasoned or as conclusory.</w:t>
      </w:r>
    </w:p>
    <w:p>
      <w:pPr>
        <w:pStyle w:val="Heading3"/>
        <w:spacing w:after="140"/>
      </w:pPr>
      <w:r>
        <w:t xml:space="preserve">1.2 Why now: the modernization moment</w:t>
      </w:r>
    </w:p>
    <w:p>
      <w:pPr>
        <w:spacing w:after="140"/>
      </w:pPr>
      <w:r>
        <w:t xml:space="preserve">On 28 May 2026, the Chief FOIA Officers Council announced a government-wide initiative to identify and improve FOIA technologies, document-review tools, and related applications. As agencies evaluate new tooling, including AI-assisted drafting and review, an equally important question runs alongside it: whether the records the tools help produce stay independently reviewable, evidentiary, and defensible. Better software that produces fluent but unreconstructable determinations does not reduce reversals. It can increase them.</w:t>
      </w:r>
    </w:p>
    <w:p>
      <w:pPr>
        <w:pStyle w:val="Heading3"/>
        <w:spacing w:after="140"/>
      </w:pPr>
      <w:r>
        <w:t xml:space="preserve">1.3 The measurement gap</w:t>
      </w:r>
    </w:p>
    <w:p>
      <w:pPr>
        <w:spacing w:after="140"/>
      </w:pPr>
      <w:r>
        <w:t xml:space="preserve">Technology inventories measure what software an agency uses. Very few measure whether the resulting records are actually reviewable. The distinction matters: two agencies can run the same case-management system and produce determinations of very different defensibility. JRS is aimed at that second question, the quality of the output, not the identity of the tool.</w:t>
      </w:r>
    </w:p>
    <w:p>
      <w:pPr>
        <w:pStyle w:val="Heading3"/>
        <w:spacing w:after="140"/>
      </w:pPr>
      <w:r>
        <w:t xml:space="preserve">1.4 Positioning</w:t>
      </w:r>
    </w:p>
    <w:p>
      <w:pPr>
        <w:spacing w:after="140"/>
      </w:pPr>
      <w:r>
        <w:t xml:space="preserve">JRS does not evaluate or rank FOIA software. It evaluates whether the documentation produced through any workflow, manual or AI-assisted, remains complete enough for an independent reviewer to reconstruct and assess the agency's reasoning. It is a governance layer sitting above the technology stack: complementary to case-management systems, e-discovery platforms, and AI document-review tools, not a competitor to them.</w:t>
      </w:r>
    </w:p>
    <w:p>
      <w:pPr>
        <w:pStyle w:val="Heading2"/>
        <w:spacing w:after="140"/>
      </w:pPr>
      <w:r>
        <w:t xml:space="preserve">2. Purpose and Research Questions</w:t>
      </w:r>
    </w:p>
    <w:p>
      <w:pPr>
        <w:spacing w:after="140"/>
      </w:pPr>
      <w:r>
        <w:rPr>
          <w:b/>
        </w:rPr>
        <w:t xml:space="preserve">Primary purpose.</w:t>
      </w:r>
      <w:r>
        <w:t xml:space="preserve"> Evaluate whether a structured documentation-review standard identifies characteristics associated with public-records determinations that hold up on review.</w:t>
      </w:r>
    </w:p>
    <w:p>
      <w:pPr>
        <w:spacing w:after="140"/>
      </w:pPr>
      <w:r>
        <w:rPr>
          <w:b/>
        </w:rPr>
        <w:t xml:space="preserve">Secondary purpose.</w:t>
      </w:r>
      <w:r>
        <w:t xml:space="preserve"> Explore whether documentation quality can serve as an independent governance metric alongside existing FOIA technology-modernization efforts.</w:t>
      </w:r>
    </w:p>
    <w:p>
      <w:pPr>
        <w:spacing w:after="140"/>
      </w:pPr>
      <w:r>
        <w:rPr>
          <w:b/>
        </w:rPr>
        <w:t xml:space="preserve">Research questions.</w:t>
      </w:r>
    </w:p>
    <w:p>
      <w:pPr>
        <w:numPr>
          <w:ilvl w:val="0"/>
          <w:numId w:val="1"/>
        </w:numPr>
        <w:spacing w:after="60"/>
      </w:pPr>
      <w:r>
        <w:t xml:space="preserve">RQ1. Is a record's JRS read (Ready, Needs work, or Gap), recorded before the outcome is known, associated with the documented review outcome?</w:t>
      </w:r>
    </w:p>
    <w:p>
      <w:pPr>
        <w:numPr>
          <w:ilvl w:val="0"/>
          <w:numId w:val="1"/>
        </w:numPr>
        <w:spacing w:after="60"/>
      </w:pPr>
      <w:r>
        <w:t xml:space="preserve">RQ2. Can the JRS conditions be applied consistently to real public-records determinations across cases and case types?</w:t>
      </w:r>
    </w:p>
    <w:p>
      <w:pPr>
        <w:numPr>
          <w:ilvl w:val="0"/>
          <w:numId w:val="1"/>
        </w:numPr>
        <w:spacing w:after="60"/>
      </w:pPr>
      <w:r>
        <w:t xml:space="preserve">RQ3. What documentation characteristics distinguish determinations that hold up on review from those that do not?</w:t>
      </w:r>
    </w:p>
    <w:p>
      <w:pPr>
        <w:pStyle w:val="Heading2"/>
        <w:spacing w:after="140"/>
      </w:pPr>
      <w:r>
        <w:t xml:space="preserve">3. The Justification Review Standard</w:t>
      </w:r>
    </w:p>
    <w:p>
      <w:pPr>
        <w:spacing w:after="140"/>
      </w:pPr>
      <w:r>
        <w:t xml:space="preserve">JRS asks one question of a record: can a later, independent reviewer reconstruct how the conclusion was reached from the record alone? It evaluates that question through five conditions and yields a three-level read.</w:t>
      </w:r>
    </w:p>
    <w:p>
      <w:pPr>
        <w:spacing w:after="140"/>
      </w:pPr>
      <w:r>
        <w:rPr>
          <w:b/>
        </w:rPr>
        <w:t xml:space="preserve">The five conditions.</w:t>
      </w:r>
      <w:r>
        <w:t xml:space="preserve"> RC1 Reconstructability (the conclusion can be rebuilt from the record alone); RC2 Basis Identification (the source of each characterization is identifiable); RC3 Chronological Integrity (dates, sequence, and sources hold together when read cold); RC4 Decision-Process Traceability (the reasoning from evidence to conclusion can be followed and the responsible parties are identifiable); RC5 Evidentiary Sufficiency (the record contains enough to support the weight of the decision).</w:t>
      </w:r>
    </w:p>
    <w:p>
      <w:pPr>
        <w:spacing w:after="140"/>
      </w:pPr>
      <w:r>
        <w:rPr>
          <w:b/>
        </w:rPr>
        <w:t xml:space="preserve">The three reads.</w:t>
      </w:r>
      <w:r>
        <w:t xml:space="preserve"> Ready (a later reviewer could reconstruct the conclusion from the record alone), Needs work (partly reconstructable, some basis visible with gaps), or Gap (the basis is not visible in the record). The named risk the standard detects is Decision Reconstruction Risk (DRR): the condition in which a record cannot, on its own terms, let an independent reviewer reconstruct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For each case, a real public determination in which the sufficiency of the record was at issue is paired with its documented outcome. The JRS read is recorded first, from the record itself and blind to the outcome; the documented outcome and the public citation are then recorded. Recording the read before the outcome is what keeps the read independent of the result.</w:t>
      </w:r>
    </w:p>
    <w:p>
      <w:pPr>
        <w:pStyle w:val="Heading3"/>
        <w:spacing w:after="140"/>
      </w:pPr>
      <w:r>
        <w:t xml:space="preserve">4.2 Materials</w:t>
      </w:r>
    </w:p>
    <w:p>
      <w:pPr>
        <w:spacing w:after="140"/>
      </w:pPr>
      <w:r>
        <w:t xml:space="preserve">Public material only, de-identified as to any private individual, with each case carrying a public citation or source URL. No internal, confidential, or agency-privileged material was used.</w:t>
      </w:r>
    </w:p>
    <w:p>
      <w:pPr>
        <w:pStyle w:val="Heading3"/>
        <w:spacing w:after="140"/>
      </w:pPr>
      <w:r>
        <w:t xml:space="preserve">4.3 Sample</w:t>
      </w:r>
    </w:p>
    <w:p>
      <w:pPr>
        <w:spacing w:after="140"/>
      </w:pPr>
      <w:r>
        <w:t xml:space="preserve">Pre-registered target: 20 to 30 cases with a deliberate spread of outcomes. </w:t>
      </w:r>
      <w:r>
        <w:rPr>
          <w:b/>
        </w:rPr>
        <w:t xml:space="preserve">Achieved sample: n = 32 cases from 32 distinct public sources, collected 26 June to 8 August 2026.</w:t>
      </w:r>
      <w:r>
        <w:t xml:space="preserve"> Four case types are represented: appellate and trial-level decisions (New York Court of Appeals, Appellate Division, and Supreme Court), New York Committee on Open Government advisory opinions, Connecticut Freedom of Information Commission final decisions, and compliance audits issued by the New York State Comptroller and the New York City Comptroller.</w:t>
      </w:r>
    </w:p>
    <w:p>
      <w:pPr>
        <w:pStyle w:val="Heading3"/>
        <w:spacing w:after="140"/>
      </w:pPr>
      <w:r>
        <w:t xml:space="preserve">4.4 Outcome coding</w:t>
      </w:r>
    </w:p>
    <w:p>
      <w:pPr>
        <w:spacing w:after="140"/>
      </w:pPr>
      <w:r>
        <w:t xml:space="preserve">Documented outcomes are coded from the cited decision, in four categories as stored: </w:t>
      </w:r>
      <w:r>
        <w:rPr>
          <w:rFonts w:ascii="Consolas" w:hAnsi="Consolas"/>
        </w:rPr>
        <w:t xml:space="preserve">held_up</w:t>
      </w:r>
      <w:r>
        <w:t xml:space="preserve"> (the agency's determination was sustained), </w:t>
      </w:r>
      <w:r>
        <w:rPr>
          <w:rFonts w:ascii="Consolas" w:hAnsi="Consolas"/>
        </w:rPr>
        <w:t xml:space="preserve">failed_appeal</w:t>
      </w:r>
      <w:r>
        <w:t xml:space="preserve"> (the determination did not survive review), </w:t>
      </w:r>
      <w:r>
        <w:rPr>
          <w:rFonts w:ascii="Consolas" w:hAnsi="Consolas"/>
        </w:rPr>
        <w:t xml:space="preserve">challenged</w:t>
      </w:r>
      <w:r>
        <w:t xml:space="preserve"> (the determination was contested and the cited source does not record a resolved disposition), and </w:t>
      </w:r>
      <w:r>
        <w:rPr>
          <w:rFonts w:ascii="Consolas" w:hAnsi="Consolas"/>
        </w:rPr>
        <w:t xml:space="preserve">failed_audit</w:t>
      </w:r>
      <w:r>
        <w:t xml:space="preserve"> (the audit recorded an adverse finding about the agency's records or its ability to evidence its own responses). No outcome is inferred. Each traces to the public record.</w:t>
      </w:r>
    </w:p>
    <w:p>
      <w:pPr>
        <w:pStyle w:val="Heading3"/>
        <w:spacing w:after="140"/>
      </w:pPr>
      <w:r>
        <w:t xml:space="preserve">4.5 Reliability</w:t>
      </w:r>
    </w:p>
    <w:p>
      <w:pPr>
        <w:spacing w:after="140"/>
      </w:pPr>
      <w:r>
        <w:t xml:space="preserve">Inter-rater agreement was not estimated in this pilot, because all 32 reads were recorded by a single domain reviewer. That is a limitation and it is stated as one in Section 8. Consistency evidence for the instrument comes from the broader JRS validation programme and is context rather than a result of this pilot: three AI systems from three separate vendors applied the JRS read to the same 15 constructed records and agreed at a mean pairwise rate of 84 percent, which measures consistent application rather than accuracy; and independent human raters scoring a shared record set reached Gwet's AC1 of 0.739 among expert raters and 0.624 among trained reviewers, against a floor of 0.61 set in advance, interim on 10 records and 99 labels.</w:t>
      </w:r>
    </w:p>
    <w:p>
      <w:pPr>
        <w:pStyle w:val="Heading3"/>
        <w:spacing w:after="140"/>
      </w:pPr>
      <w:r>
        <w:t xml:space="preserve">4.6 Analysis plan</w:t>
      </w:r>
    </w:p>
    <w:p>
      <w:pPr>
        <w:spacing w:after="140"/>
      </w:pPr>
      <w:r>
        <w:t xml:space="preserve">The primary analysis is the association between JRS read and documented disposition, tested with Fisher's exact test, which is the appropriate exact method at these cell counts, reported with an effect size. Cases coded </w:t>
      </w:r>
      <w:r>
        <w:rPr>
          <w:rFonts w:ascii="Consolas" w:hAnsi="Consolas"/>
        </w:rPr>
        <w:t xml:space="preserve">challenged</w:t>
      </w:r>
      <w:r>
        <w:t xml:space="preserve"> carry no resolved disposition and are excluded from the primary test rather than assigned one. The audit subset is analysed separately and descriptively. A null result is reported plainly as null and is not reinterpreted.</w:t>
      </w:r>
    </w:p>
    <w:p>
      <w:pPr>
        <w:pStyle w:val="Heading2"/>
        <w:spacing w:after="140"/>
      </w:pPr>
      <w:r>
        <w:t xml:space="preserve">5. Results</w:t>
      </w:r>
    </w:p>
    <w:p>
      <w:pPr>
        <w:spacing w:after="140"/>
      </w:pPr>
      <w:r>
        <w:t xml:space="preserve">Data collection is complete. All figures below are verified against the study database.</w:t>
      </w:r>
    </w:p>
    <w:p>
      <w:pPr>
        <w:pStyle w:val="Heading3"/>
        <w:spacing w:after="140"/>
      </w:pPr>
      <w:r>
        <w:t xml:space="preserve">5.1 Sample composition</w:t>
      </w:r>
    </w:p>
    <w:p>
      <w:pPr>
        <w:spacing w:after="140"/>
      </w:pPr>
      <w:r>
        <w:rPr>
          <w:b/>
        </w:rPr>
        <w:t xml:space="preserve">JRS reads (n = 32):</w:t>
      </w:r>
      <w:r>
        <w:t xml:space="preserve"> 18 Ready, 9 Needs work, 5 Gap.</w:t>
      </w:r>
    </w:p>
    <w:p>
      <w:pPr>
        <w:spacing w:after="140"/>
      </w:pPr>
      <w:r>
        <w:rPr>
          <w:b/>
        </w:rPr>
        <w:t xml:space="preserve">Documented outcomes (n = 32):</w:t>
      </w:r>
      <w:r>
        <w:t xml:space="preserve"> 15 failed appeal, 7 challenged, 5 held up, 5 failed audit.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JRS read</w:t>
            </w:r>
          </w:p>
        </w:tc>
        <w:tc>
          <w:tcPr>
            <w:tcW w:w="1560" w:type="dxa"/>
          </w:tcPr>
          <w:p>
            <w:pPr>
              <w:spacing w:after="0"/>
            </w:pPr>
            <w:r>
              <w:t xml:space="preserve">Held up</w:t>
            </w:r>
          </w:p>
        </w:tc>
        <w:tc>
          <w:tcPr>
            <w:tcW w:w="1560" w:type="dxa"/>
          </w:tcPr>
          <w:p>
            <w:pPr>
              <w:spacing w:after="0"/>
            </w:pPr>
            <w:r>
              <w:t xml:space="preserve">Failed appeal</w:t>
            </w:r>
          </w:p>
        </w:tc>
        <w:tc>
          <w:tcPr>
            <w:tcW w:w="1560" w:type="dxa"/>
          </w:tcPr>
          <w:p>
            <w:pPr>
              <w:spacing w:after="0"/>
            </w:pPr>
            <w:r>
              <w:t xml:space="preserve">Challenged</w:t>
            </w:r>
          </w:p>
        </w:tc>
        <w:tc>
          <w:tcPr>
            <w:tcW w:w="1560" w:type="dxa"/>
          </w:tcPr>
          <w:p>
            <w:pPr>
              <w:spacing w:after="0"/>
            </w:pPr>
            <w:r>
              <w:t xml:space="preserve">Failed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pStyle w:val="Heading3"/>
        <w:spacing w:after="140"/>
      </w:pPr>
      <w:r>
        <w:t xml:space="preserve">5.2 Primary analysis: read against documented disposition</w:t>
      </w:r>
    </w:p>
    <w:p>
      <w:pPr>
        <w:spacing w:after="140"/>
      </w:pPr>
      <w:r>
        <w:t xml:space="preserve">Restricting to the 20 determinations with a resolved disposition: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Held up</w:t>
            </w:r>
          </w:p>
        </w:tc>
        <w:tc>
          <w:tcPr>
            <w:tcW w:w="2340" w:type="dxa"/>
          </w:tcPr>
          <w:p>
            <w:pPr>
              <w:spacing w:after="0"/>
            </w:pPr>
            <w:r>
              <w:t xml:space="preserve">Did not hold up</w:t>
            </w:r>
          </w:p>
        </w:tc>
        <w:tc>
          <w:tcPr>
            <w:tcW w:w="2340" w:type="dxa"/>
          </w:tcPr>
          <w:p>
            <w:pPr>
              <w:spacing w:after="0"/>
            </w:pPr>
            <w:r>
              <w:t xml:space="preserve">Held-up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Difference: 5.5 percentage points, in the opposite direction to the hypothesis. Odds ratio 0.75. </w:t>
      </w:r>
      <w:r>
        <w:rPr>
          <w:b/>
        </w:rPr>
        <w:t xml:space="preserve">Fisher's exact test, two-sided: p = 1.000.</w:t>
      </w:r>
    </w:p>
    <w:p>
      <w:pPr>
        <w:spacing w:after="140"/>
      </w:pPr>
      <w:r>
        <w:rPr>
          <w:b/>
        </w:rPr>
        <w:t xml:space="preserve">The pre-registered association is not supported.</w:t>
      </w:r>
      <w:r>
        <w:t xml:space="preserve"> A Ready read did not predict that a determination would survive review in this corpus. The result is reported as a null, and the pre-registered rule that a failed threshold is reported plainly rather than reinterpreted is applied here.</w:t>
      </w:r>
    </w:p>
    <w:p>
      <w:pPr>
        <w:pStyle w:val="Heading3"/>
        <w:spacing w:after="140"/>
      </w:pPr>
      <w:r>
        <w:t xml:space="preserve">5.3 Secondary, descriptive: the audit subset</w:t>
      </w:r>
    </w:p>
    <w:p>
      <w:pPr>
        <w:spacing w:after="140"/>
      </w:pPr>
      <w:r>
        <w:t xml:space="preserve">All five cases carrying a Gap read are compliance audits, and all five record an adverse audit finding. In each, the auditor documented that the agency could not evidence its own FOIL responses: records of what was provided were missing, tracking was absent or incomplete, or the auditor stated on the record that they could not determine with reasonable certainty whether the necessary information had been supplied.</w:t>
      </w:r>
    </w:p>
    <w:p>
      <w:pPr>
        <w:spacing w:after="140"/>
      </w:pPr>
      <w:r>
        <w:rPr>
          <w:b/>
        </w:rPr>
        <w:t xml:space="preserve">This is not offered as an association.</w:t>
      </w:r>
      <w:r>
        <w:t xml:space="preserve"> In this sample, case type and read are perfectly collinear: every Gap read comes from an audit and every audit received a Gap read. No effect of the read can be separated from the effect of the case type, and none is claimed. What the subset does show is that the Gap read is reachable on real material, which matters for RQ2.</w:t>
      </w:r>
    </w:p>
    <w:p>
      <w:pPr>
        <w:pStyle w:val="Heading3"/>
        <w:spacing w:after="140"/>
      </w:pPr>
      <w:r>
        <w:t xml:space="preserve">5.4 Why the null is the expected shape of this corpus</w:t>
      </w:r>
    </w:p>
    <w:p>
      <w:pPr>
        <w:spacing w:after="140"/>
      </w:pPr>
      <w:r>
        <w:t xml:space="preserve">Published appellate decisions and advisory opinions are not a random sample of determinations. They are selected for being contested, and a case reaches a published opinion largely because a legal question was live, not because the paperwork was thin. That shows in the outcome distribution: 15 of 20 resolved determinations did not hold up, a base rate that reflects which cases get published rather than how agencies generally perform.</w:t>
      </w:r>
    </w:p>
    <w:p>
      <w:pPr>
        <w:spacing w:after="140"/>
      </w:pPr>
      <w:r>
        <w:t xml:space="preserve">A published decision also reports the determination through the reviewing body's own narrative, which supplies context the original file may never have contained. A reviewer reading that narrative is not reading what the appeals officer read. The corpus that would test the hypothesis properly is agency determinations as issued, sampled without regard to whether they were later contested. That is a different study and Section 9 describes it.</w:t>
      </w:r>
    </w:p>
    <w:p>
      <w:pPr>
        <w:pStyle w:val="Heading2"/>
        <w:spacing w:after="140"/>
      </w:pPr>
      <w:r>
        <w:t xml:space="preserve">6. Discussion</w:t>
      </w:r>
    </w:p>
    <w:p>
      <w:pPr>
        <w:pStyle w:val="Heading3"/>
        <w:spacing w:after="140"/>
      </w:pPr>
      <w:r>
        <w:t xml:space="preserve">6.1 What a null on this corpus does and does not mean</w:t>
      </w:r>
    </w:p>
    <w:p>
      <w:pPr>
        <w:spacing w:after="140"/>
      </w:pPr>
      <w:r>
        <w:t xml:space="preserve">It does not mean documentation quality is irrelevant to whether determinations hold up. It means that among published decisions, where every case was contested enough to be litigated or opined on, the reconstructability of the determination as reported does not separate the winners from the losers. That is a finding about the corpus as much as about the instrument, and it was worth learning before anyone built a larger study on the assumption.</w:t>
      </w:r>
    </w:p>
    <w:p>
      <w:pPr>
        <w:pStyle w:val="Heading3"/>
        <w:spacing w:after="140"/>
      </w:pPr>
      <w:r>
        <w:t xml:space="preserve">6.2 Documentation quality as an independent governance metric</w:t>
      </w:r>
    </w:p>
    <w:p>
      <w:pPr>
        <w:spacing w:after="140"/>
      </w:pPr>
      <w:r>
        <w:t xml:space="preserve">The reviewability of a determination is a property of the record, measurable regardless of the software or AI system used to produce it. That is what makes a documentation-quality metric portable: it applies to a hand-written denial and an AI-drafted one alike.</w:t>
      </w:r>
    </w:p>
    <w:p>
      <w:pPr>
        <w:pStyle w:val="Heading3"/>
        <w:spacing w:after="140"/>
      </w:pPr>
      <w:r>
        <w:t xml:space="preserve">6.3 Complementarity with FOIA technology modernization</w:t>
      </w:r>
    </w:p>
    <w:p>
      <w:pPr>
        <w:spacing w:after="140"/>
      </w:pPr>
      <w:r>
        <w:t xml:space="preserve">A technology inventory answers what tools are in use. A documentation-quality read answers whether the outputs hold up. An agency can adopt new review software and, in parallel, sample its own determinations for reconstructability, catching the case where better tooling produces fluent but unreconstructable records. The audit subset in Section 5.3 is the sharpest illustration in this sample: in all five, the failure the auditor recorded was an evidentiary one, an agency unable to show what it had done.</w:t>
      </w:r>
    </w:p>
    <w:p>
      <w:pPr>
        <w:pStyle w:val="Heading3"/>
        <w:spacing w:after="140"/>
      </w:pPr>
      <w:r>
        <w:t xml:space="preserve">6.4 Practical implications for records officers</w:t>
      </w:r>
    </w:p>
    <w:p>
      <w:pPr>
        <w:spacing w:after="140"/>
      </w:pPr>
      <w:r>
        <w:t xml:space="preserve">Determinations that reconstruct their own basis, that name each exemption, itemize the records located and produced, and connect reasoning to cited authority, are more consistent across officers and cheaper to defend. The five conditions are usable as a pre-issuance checklist, not only as a research instrument. This pilot does not establish that using them lowers reversal rates, and that claim is not made.</w:t>
      </w:r>
    </w:p>
    <w:p>
      <w:pPr>
        <w:pStyle w:val="Heading2"/>
        <w:spacing w:after="140"/>
      </w:pPr>
      <w:r>
        <w:t xml:space="preserve">7. Context from the wider validation programme</w:t>
      </w:r>
    </w:p>
    <w:p>
      <w:pPr>
        <w:spacing w:after="140"/>
      </w:pPr>
      <w:r>
        <w:t xml:space="preserve">This pilot is one domain within a broader JRS validation programme. The programme figures below are context for the instrument, not results of this pilot, and are provisional until the international study closes in mid-August 2026.</w:t>
      </w:r>
    </w:p>
    <w:p>
      <w:pPr>
        <w:spacing w:after="140"/>
      </w:pPr>
      <w:r>
        <w:t xml:space="preserve">Fifty three international reviewers across three studies have graded records for the programme, unpaid and in a personal capacity. Thirty two independent experts among them each completed a full 24-record set, in 16 countries across 5 continents.</w:t>
      </w:r>
    </w:p>
    <w:p>
      <w:pPr>
        <w:spacing w:after="140"/>
      </w:pPr>
      <w:r>
        <w:t xml:space="preserve">In the international detection study, a panel of 16 independent experts drawn from 11 countries read a balanced corpus of 24 constructed records against an answer key that was fixed before any reviewer saw a record and then independently reproduced by blind raters, 24 of 24. They identified unreconstructable records with 83.9 percent accuracy across 384 graded reads, with a 95 percent confidence interval of 72.7 to 95.1 at participant level, sensitivity 87.0 percent and specificity 80.7 percent. The registered threshold required a point estimate of at least 70 percent with the lower bound above chance, and both criteria were met.</w:t>
      </w:r>
    </w:p>
    <w:p>
      <w:pPr>
        <w:spacing w:after="140"/>
      </w:pPr>
      <w:r>
        <w:t xml:space="preserve">The relevance to this pilot is narrow and worth stating precisely. That study establishes that trained professionals can identify unreconstructable records in a corpus built so that the ground truth is known. This pilot asked a different question, on real determinations where the ground truth is a review outcome rather than a verified key, and did not find the association. Both results stand.</w:t>
      </w:r>
    </w:p>
    <w:p>
      <w:pPr>
        <w:pStyle w:val="Heading2"/>
        <w:spacing w:after="140"/>
      </w:pPr>
      <w:r>
        <w:t xml:space="preserve">8. Limitations</w:t>
      </w:r>
    </w:p>
    <w:p>
      <w:pPr>
        <w:spacing w:after="140"/>
      </w:pPr>
      <w:r>
        <w:t xml:space="preserve">All 32 reads were recorded by a single domain reviewer, so no inter-rater agreement is estimated here and reader-dependence cannot be ruled out.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corpus is two states, New York and Connecticut, and generalization beyond them is not claimed.</w:t>
      </w:r>
    </w:p>
    <w:p>
      <w:pPr>
        <w:spacing w:after="140"/>
      </w:pPr>
      <w:r>
        <w:t xml:space="preserve">Seven cases are coded </w:t>
      </w:r>
      <w:r>
        <w:rPr>
          <w:rFonts w:ascii="Consolas" w:hAnsi="Consolas"/>
        </w:rPr>
        <w:t xml:space="preserve">challenged</w:t>
      </w:r>
      <w:r>
        <w:t xml:space="preserve"> because the cited source records a contest without a resolved disposition. They are excluded from the primary test rather than assigned an outcome, which reduces the effective sample from 27 determinations to 20.</w:t>
      </w:r>
    </w:p>
    <w:p>
      <w:pPr>
        <w:spacing w:after="140"/>
      </w:pPr>
      <w:r>
        <w:t xml:space="preserve">Case type and read are perfectly collinear in the audit subset, so that subset supports no causal or associational reading.</w:t>
      </w:r>
    </w:p>
    <w:p>
      <w:pPr>
        <w:spacing w:after="140"/>
      </w:pPr>
      <w:r>
        <w:t xml:space="preserve">The reviewer read the determination as reported in a published decision, which is not identical to the file the original decision-maker produced.</w:t>
      </w:r>
    </w:p>
    <w:p>
      <w:pPr>
        <w:spacing w:after="140"/>
      </w:pPr>
      <w:r>
        <w:t xml:space="preserve">JRS remains in a validation phase and makes no proven-effectiveness claim.</w:t>
      </w:r>
    </w:p>
    <w:p>
      <w:pPr>
        <w:pStyle w:val="Heading2"/>
        <w:spacing w:after="140"/>
      </w:pPr>
      <w:r>
        <w:t xml:space="preserve">9. Conclusion and next study</w:t>
      </w:r>
    </w:p>
    <w:p>
      <w:pPr>
        <w:spacing w:after="140"/>
      </w:pPr>
      <w:r>
        <w:t xml:space="preserve">The drafting tool and the technology stack will keep changing. The evidentiary test does not. A public-records determination that cannot be reconstructed from its own contents cannot be independently defended, whoever or whatever produced it.</w:t>
      </w:r>
    </w:p>
    <w:p>
      <w:pPr>
        <w:spacing w:after="140"/>
      </w:pPr>
      <w:r>
        <w:t xml:space="preserve">This pilot set out to test whether a structured documentation read predicts which determinations survive review. On 32 real cases it does not, and that is reported as it stands. What the pilot delivers instead is a working protocol, a completed and citable case set, and a clear specification of the study that would answer the question properly: agency determinations as issued, sampled without regard to whether they were later contested, read blind by more than one reviewer, and matched to dispositions afterward. That study is now designable because this one was run.</w:t>
      </w:r>
    </w:p>
    <w:p>
      <w:pPr>
        <w:pStyle w:val="Heading2"/>
        <w:spacing w:after="140"/>
      </w:pPr>
      <w:r>
        <w:t xml:space="preserve">References and cited determinations</w:t>
      </w:r>
    </w:p>
    <w:p>
      <w:pPr>
        <w:spacing w:after="140"/>
      </w:pPr>
      <w:r>
        <w:t xml:space="preserve">Appellate and trial-level decisions cited in the case set include: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Committee on Open Government advisory opinions: FOIL AO 19516 (Dec. 5, 2016); FOIL AO 19639 (Dec. 20, 2017); FOIL AO 19646 (Feb. 16, 2018); FOIL AO 19721 (Apr. 12, 2019); FOIL AO 19746 (July 16, 2019); FOIL AO 19780 (Sept. 21, 2020); FOIL AO 19854 (Oct.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spacing w:after="140"/>
      </w:pPr>
      <w:r>
        <w:t xml:space="preserve">Chief FOIA Officers Council, government-wide FOIA technology initiative announcement (28 May 2026).</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61(1), 29-48.</w:t>
      </w:r>
    </w:p>
    <w:p>
      <w:pPr>
        <w:pStyle w:val="Heading2"/>
        <w:spacing w:after="140"/>
      </w:pPr>
      <w:r>
        <w:t xml:space="preserve">Data availability and provenance</w:t>
      </w:r>
    </w:p>
    <w:p>
      <w:pPr>
        <w:spacing w:after="140"/>
      </w:pPr>
      <w:r>
        <w:t xml:space="preserve">Case-level data (public citation, JRS read, and documented outcome) are recorded in the study database (</w:t>
      </w:r>
      <w:r>
        <w:rPr>
          <w:rFonts w:ascii="Consolas" w:hAnsi="Consolas"/>
        </w:rPr>
        <w:t xml:space="preserve">bench_outcomes</w:t>
      </w:r>
      <w:r>
        <w:t xml:space="preserve">, contributor E-08, domain "Public records / FOIL"). Verified counts as of 8 August 2026: 32 cases, 32 distinct public sources, collected 26 June to 8 August 2026; reads 18 Ready, 9 Needs work, 5 Gap; outcomes 15 failed appeal, 7 challenged, 5 held up, 5 failed audit. The analysis script is filed at </w:t>
      </w:r>
      <w:r>
        <w:rPr>
          <w:rFonts w:ascii="Consolas" w:hAnsi="Consolas"/>
        </w:rPr>
        <w:t xml:space="preserve">research/analysis_foil_2026-08-08.py</w:t>
      </w:r>
      <w:r>
        <w:t xml:space="preserve"> and reproduces every figure in Section 5 from those counts using only the Python standard library. The full case set with citations will be released with the published article.</w:t>
      </w:r>
    </w:p>
    <w:p>
      <w:pPr>
        <w:pStyle w:val="Heading2"/>
        <w:spacing w:after="140"/>
      </w:pPr>
      <w:r>
        <w:t xml:space="preserve">Progress log</w:t>
      </w:r>
    </w:p>
    <w:p>
      <w:pPr>
        <w:numPr>
          <w:ilvl w:val="0"/>
          <w:numId w:val="1"/>
        </w:numPr>
        <w:spacing w:after="60"/>
      </w:pPr>
      <w:r>
        <w:t xml:space="preserve">2026-07-09: Outline created from the PR-DVP pilot prospectus and verified pilot data (n=7). Co-author Stacy Young accepted co-authorship and committed to building out more cases.</w:t>
      </w:r>
    </w:p>
    <w:p>
      <w:pPr>
        <w:numPr>
          <w:ilvl w:val="0"/>
          <w:numId w:val="1"/>
        </w:numPr>
        <w:spacing w:after="60"/>
      </w:pPr>
      <w:r>
        <w:t xml:space="preserve">2026-08-01: Full manuscript drafted from the outline and live-verified pilot data (n=7). Results kept descriptive per the pre-registered gate.</w:t>
      </w:r>
    </w:p>
    <w:p>
      <w:pPr>
        <w:numPr>
          <w:ilvl w:val="0"/>
          <w:numId w:val="1"/>
        </w:numPr>
        <w:spacing w:after="60"/>
      </w:pPr>
      <w:r>
        <w:t xml:space="preserve">2026-08-08: </w:t>
      </w:r>
      <w:r>
        <w:rPr>
          <w:b/>
        </w:rPr>
        <w:t xml:space="preserve">DATA COLLECTION COMPLETE AND ANALYSIS RUN.</w:t>
      </w:r>
      <w:r>
        <w:t xml:space="preserve"> Sample reached n=32 from 32 distinct sources, exceeding the pre-registered 20 to 30 target, with all three reads and four outcome categories represented. Author order changed to Stacy Young first, reflecting that she designed the case protocol and produced all 32 reads. Section 5 rewritten from placeholder to completed results: the pre-registered Fisher's exact test returns p = 1.000 on n = 20 with an odds ratio of 0.75, a null, reported as such. New Section 5.4 explains why a null is the expected shape of a published-decision corpus. New Section 5.3 reports the audit subset descriptively and names the perfect collinearity between case type and read that prevents any associational reading. New Section 7 adds the international detection-study figures as programme context with the boundary between the two studies stated. Limitations extended to cover single-reviewer reads, selection from published sources, the excluded </w:t>
      </w:r>
      <w:r>
        <w:rPr>
          <w:rFonts w:ascii="Consolas" w:hAnsi="Consolas"/>
        </w:rPr>
        <w:t xml:space="preserve">challenged</w:t>
      </w:r>
      <w:r>
        <w:t xml:space="preserve"> cases, and the gap between a published narrative and the original file. Section 9 specifies the study that would answer the question properly. Analysis script filed at </w:t>
      </w:r>
      <w:r>
        <w:rPr>
          <w:rFonts w:ascii="Consolas" w:hAnsi="Consolas"/>
        </w:rPr>
        <w:t xml:space="preserve">research/analysis_foil_2026-08-08.py</w:t>
      </w:r>
      <w:r>
        <w:t xml:space="preser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