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Reply to Stacy Young: her research is complete, results are in, she is first author</w:t>
      </w:r>
    </w:p>
    <w:p>
      <w:pPr>
        <w:spacing w:after="140"/>
      </w:pPr>
      <w:r>
        <w:rPr>
          <w:i/>
        </w:rPr>
        <w:t xml:space="preserve">She asked how the cases look, whether the format and level of detail are working, and what happens next. All three are answerable now, because her last batch took the sample past the pre-registered target and the analysis has been run. Tell her the count she lost track of, tell her the result including the null, tell her she is first author, and name the journal. Send from info@jrsstandard.com. No long dashes.</w:t>
      </w:r>
    </w:p>
    <w:p>
      <w:pPr>
        <w:spacing w:after="140"/>
      </w:pPr>
      <w:r>
        <w:rPr>
          <w:i/>
        </w:rPr>
        <w:t xml:space="preserve">Note for you, not for her: the primary association came back null, p = 1.000. Do not soften it and do not lead with it either. Lead with what she built, then give the number straight, then explain why a null on published decisions is the expected shape and why her case set is what makes the next study designable. She did the work well; the corpus is what did not cooperate. Her mother's news is mentioned last, briefly, because she raised it.</w:t>
      </w:r>
    </w:p>
    <w:p>
      <w:pPr>
        <w:pBdr>
          <w:bottom w:val="single" w:sz="6" w:space="1" w:color="AAAAAA"/>
        </w:pBdr>
      </w:pPr>
    </w:p>
    <w:p>
      <w:pPr>
        <w:spacing w:after="140"/>
      </w:pPr>
      <w:r>
        <w:t xml:space="preserve">Hi Stacyann,</w:t>
      </w:r>
    </w:p>
    <w:p>
      <w:pPr>
        <w:spacing w:after="140"/>
      </w:pPr>
      <w:r>
        <w:t xml:space="preserve">You did not lose count by much, and you are done. The database has </w:t>
      </w:r>
      <w:r>
        <w:rPr>
          <w:b/>
        </w:rPr>
        <w:t xml:space="preserve">32 cases from 32 distinct public sources</w:t>
      </w:r>
      <w:r>
        <w:t xml:space="preserve">, collected between 26 June and 8 August. The pre-registered target was 20 to 30 with a spread of outcomes, so you cleared it and then some. Your research for this pilot is complete.</w:t>
      </w:r>
    </w:p>
    <w:p>
      <w:pPr>
        <w:spacing w:after="140"/>
      </w:pPr>
      <w:r>
        <w:t xml:space="preserve">The last batch is what finished it. Before it, we had seven cases, all Ready or Needs work, no Gap reads, and no way to run the analysis. You brought in the Committee on Open Government opinions, the 2024 and 2025 Slip Op decisions, and the Comptroller audits, and that gave us all three reads and four different outcome categories. That is what a spread means, and it is the reason there is a paper to write.</w:t>
      </w:r>
    </w:p>
    <w:p>
      <w:pPr>
        <w:spacing w:after="140"/>
      </w:pPr>
      <w:r>
        <w:t xml:space="preserve">On the format and level of detail: they work, and I would not change them. Recording the read before you looked at the outcome is the single thing that keeps this study honest, and you did it consistently across 32 cases and four different kinds of source. The notes are the part I did not expect to be as useful as they are. Several of them say exactly why a case is worth including, and that reasoning is going straight into the methods section.</w:t>
      </w:r>
    </w:p>
    <w:p>
      <w:pPr>
        <w:spacing w:after="140"/>
      </w:pPr>
      <w:r>
        <w:t xml:space="preserve">Now the result, and I am giving it to you straight because you earned that.</w:t>
      </w:r>
    </w:p>
    <w:p>
      <w:pPr>
        <w:spacing w:after="140"/>
      </w:pPr>
      <w:r>
        <w:rPr>
          <w:b/>
        </w:rPr>
        <w:t xml:space="preserve">The main test came back null.</w:t>
      </w:r>
      <w:r>
        <w:t xml:space="preserve"> Among the 20 determinations where the cited source records a resolved disposition, 3 of 13 Ready records held up and 2 of 7 Needs work records held up. That is a 5.5 point difference in the wrong direction, odds ratio 0.75, Fisher's exact two-sided p = 1.000. The JRS read did not predict which determinations survived review in this set of cases.</w:t>
      </w:r>
    </w:p>
    <w:p>
      <w:pPr>
        <w:spacing w:after="140"/>
      </w:pPr>
      <w:r>
        <w:t xml:space="preserve">Here is why I am not discouraged by that, and why I do not think you should be either. Published decisions are not a random sample of determinations. A case reaches a published opinion because a legal question was live, not because the paperwork was thin. It shows in the numbers: 15 of those 20 determinations did not hold up, which tells you about which cases get published, not about how agencies generally perform. On top of that, we were reading the determination as retold inside the reviewing body's own narrative, which supplies context the original file may never have had. The corpus was always going to be a hard test, and now we know that rather than assuming it.</w:t>
      </w:r>
    </w:p>
    <w:p>
      <w:pPr>
        <w:spacing w:after="140"/>
      </w:pPr>
      <w:r>
        <w:t xml:space="preserve">What your case set does establish is real. The instrument was applied to 32 live determinations across four case types and two states, blind to outcome, and it produced a full spread of reads. That is a working protocol nobody had before. And there is one pattern in your audit cases worth naming: all five Comptroller audits came back Gap, and in every one the finding was evidentiary, an agency that could not show what it had actually done. We report that descriptively rather than as a result, because every Gap read in the sample is an audit and every audit got a Gap read, so the read and the case type cannot be separated. Stating that plainly is what keeps a reviewer on our side.</w:t>
      </w:r>
    </w:p>
    <w:p>
      <w:pPr>
        <w:spacing w:after="140"/>
      </w:pPr>
      <w:r>
        <w:t xml:space="preserve">Two things about the paper.</w:t>
      </w:r>
    </w:p>
    <w:p>
      <w:pPr>
        <w:spacing w:after="140"/>
      </w:pPr>
      <w:r>
        <w:rPr>
          <w:b/>
        </w:rPr>
        <w:t xml:space="preserve">You are listed first.</w:t>
      </w:r>
      <w:r>
        <w:t xml:space="preserve"> Stacy Young and Phillip Wikes. You designed the case protocol, selected and screened all 32 determinations, recorded every read, and you lead the public-records framing. That is the larger share of the work in this pilot and the author order should say so.</w:t>
      </w:r>
    </w:p>
    <w:p>
      <w:pPr>
        <w:spacing w:after="140"/>
      </w:pPr>
      <w:r>
        <w:rPr>
          <w:b/>
        </w:rPr>
        <w:t xml:space="preserve">We are sending it to the Journal of Civic Information.</w:t>
      </w:r>
      <w:r>
        <w:t xml:space="preserve"> It publishes empirical research on FOIA, public records, transparency, and government, which is exactly this paper's audience, and a completed pilot reporting an honest null with a reusable protocol is the kind of thing they run. Nothing goes anywhere without your approval of the full text first.</w:t>
      </w:r>
    </w:p>
    <w:p>
      <w:pPr>
        <w:spacing w:after="140"/>
      </w:pPr>
      <w:r>
        <w:t xml:space="preserve">The draft is attached, complete through the conclusion. What I would like from you when you have time is a read of Sections 4 and 5, the methods and results, to check that I have described your protocol the way you actually ran it. If I have any of it wrong, it is worth fixing before anyone else reads it.</w:t>
      </w:r>
    </w:p>
    <w:p>
      <w:pPr>
        <w:spacing w:after="140"/>
      </w:pPr>
      <w:r>
        <w:t xml:space="preserve">Please do pass my congratulations to your mom. Tell her the next chapter has good timing.</w:t>
      </w:r>
    </w:p>
    <w:p>
      <w:pPr>
        <w:spacing w:after="140"/>
      </w:pPr>
      <w:r>
        <w:t xml:space="preserve">Thank you for this. It is a real piece of work.</w:t>
      </w:r>
    </w:p>
    <w:p>
      <w:pPr>
        <w:spacing w:after="140"/>
      </w:pPr>
      <w:r>
        <w:t xml:space="preserve">Best,</w:t>
      </w:r>
    </w:p>
    <w:p>
      <w:pPr>
        <w:spacing w:after="140"/>
      </w:pPr>
      <w:r>
        <w:t xml:space="preserve">Phillip Wikes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