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before="260"/>
      </w:pPr>
      <w:r>
        <w:rPr>
          <w:rFonts w:ascii="Times New Roman" w:cs="Times New Roman" w:eastAsia="Times New Roman" w:hAnsi="Times New Roman"/>
          <w:b/>
          <w:bCs/>
          <w:i w:val="false"/>
          <w:iCs w:val="false"/>
          <w:sz w:val="30"/>
          <w:szCs w:val="30"/>
        </w:rPr>
        <w:t xml:space="preserve">Detecting Decision Reconstruction Risk in AI-Assisted Documentation: A Record-Level Review Standard and Its Pre-Registered Validation</w:t>
      </w:r>
    </w:p>
    <w:p>
      <w:pPr>
        <w:spacing w:after="150" w:line="276"/>
      </w:pPr>
      <w:r>
        <w:rPr>
          <w:rFonts w:ascii="Times New Roman" w:cs="Times New Roman" w:eastAsia="Times New Roman" w:hAnsi="Times New Roman"/>
          <w:b/>
          <w:bCs/>
          <w:sz w:val="24"/>
          <w:szCs w:val="24"/>
        </w:rPr>
        <w:t xml:space="preserve">Authors:</w:t>
      </w:r>
      <w:r>
        <w:rPr>
          <w:rFonts w:ascii="Times New Roman" w:cs="Times New Roman" w:eastAsia="Times New Roman" w:hAnsi="Times New Roman"/>
          <w:sz w:val="24"/>
          <w:szCs w:val="24"/>
        </w:rPr>
        <w:t xml:space="preserve"> Phillip Wikes (Creator of the Justification Review Standard; former Lead Civil Rights Officer, Maryland Commission on Civil Rights), Gabriela Cortez (civil rights records and bilingual intake, Maryland Commission on Civil Rights), and Ubayet Hossain, FRM (Associate Director, Model Validation, KPMG India).</w:t>
      </w:r>
    </w:p>
    <w:p>
      <w:pPr>
        <w:spacing w:after="150" w:line="276"/>
      </w:pPr>
      <w:r>
        <w:rPr>
          <w:rFonts w:ascii="Times New Roman" w:cs="Times New Roman" w:eastAsia="Times New Roman" w:hAnsi="Times New Roman"/>
          <w:b/>
          <w:bCs/>
          <w:sz w:val="24"/>
          <w:szCs w:val="24"/>
        </w:rPr>
        <w:t xml:space="preserve">Author contributions:</w:t>
      </w:r>
      <w:r>
        <w:rPr>
          <w:rFonts w:ascii="Times New Roman" w:cs="Times New Roman" w:eastAsia="Times New Roman" w:hAnsi="Times New Roman"/>
          <w:sz w:val="24"/>
          <w:szCs w:val="24"/>
        </w:rPr>
        <w:t xml:space="preserve"> P.W. conceived Decision Reconstruction Risk and the JRS review method, constructed the validation corpus and the verified answer key, assembled the international reviewer panel, and led the writing. G.C. shaped the paper's normative framing, that a record must remain understandable to the people a decision affects, and the rationale for an internationally and linguistically diverse reviewer panel, and contributes the conceptual analysis and writing for that framing (Section 2.1 and the Introduction). As a member of the reviewer panel, her reads form part of the analyzed data; her authorship rests on her conceptual and writing contribution, not on her own reviews. U.H. designed the reliability and validation framework: the reference-panel design, the chance-corrected agreement statistics, and the pre-registered decision floors and analysis plan.</w:t>
      </w:r>
    </w:p>
    <w:p>
      <w:pPr>
        <w:spacing w:after="150" w:line="276"/>
      </w:pPr>
      <w:r>
        <w:rPr>
          <w:rFonts w:ascii="Times New Roman" w:cs="Times New Roman" w:eastAsia="Times New Roman" w:hAnsi="Times New Roman"/>
          <w:b/>
          <w:bCs/>
          <w:sz w:val="24"/>
          <w:szCs w:val="24"/>
        </w:rPr>
        <w:t xml:space="preserve">Target journal: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AI and Ethics</w:t>
      </w:r>
      <w:r>
        <w:rPr>
          <w:rFonts w:ascii="Times New Roman" w:cs="Times New Roman" w:eastAsia="Times New Roman" w:hAnsi="Times New Roman"/>
          <w:sz w:val="24"/>
          <w:szCs w:val="24"/>
        </w:rPr>
        <w:t xml:space="preserve"> (Springer). Fit: the journal's scope is the ethics and governance of AI in practice, and it publishes both original research and reflective perspective articles, which suits a paper that motivates a governance construct from field experience and then validates it empirically. Alternatives if needed: </w:t>
      </w:r>
      <w:r>
        <w:rPr>
          <w:rFonts w:ascii="Times New Roman" w:cs="Times New Roman" w:eastAsia="Times New Roman" w:hAnsi="Times New Roman"/>
          <w:i/>
          <w:iCs/>
          <w:sz w:val="24"/>
          <w:szCs w:val="24"/>
        </w:rPr>
        <w:t xml:space="preserve">AI &amp; Society</w:t>
      </w:r>
      <w:r>
        <w:rPr>
          <w:rFonts w:ascii="Times New Roman" w:cs="Times New Roman" w:eastAsia="Times New Roman" w:hAnsi="Times New Roman"/>
          <w:sz w:val="24"/>
          <w:szCs w:val="24"/>
        </w:rPr>
        <w:t xml:space="preserve"> (Springer); </w:t>
      </w:r>
      <w:r>
        <w:rPr>
          <w:rFonts w:ascii="Times New Roman" w:cs="Times New Roman" w:eastAsia="Times New Roman" w:hAnsi="Times New Roman"/>
          <w:i/>
          <w:iCs/>
          <w:sz w:val="24"/>
          <w:szCs w:val="24"/>
        </w:rPr>
        <w:t xml:space="preserve">Journal of Responsible Technology</w:t>
      </w:r>
      <w:r>
        <w:rPr>
          <w:rFonts w:ascii="Times New Roman" w:cs="Times New Roman" w:eastAsia="Times New Roman" w:hAnsi="Times New Roman"/>
          <w:sz w:val="24"/>
          <w:szCs w:val="24"/>
        </w:rPr>
        <w:t xml:space="preserve"> (Elsevier, open access); or a FAccT / AIES workshop for speed.</w:t>
      </w:r>
    </w:p>
    <w:p>
      <w:pPr>
        <w:spacing w:after="150" w:line="276"/>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Working draft, validation phase. The design, materials, and pre-registered analysis plan are complete. Two supporting rungs are now reported with complete data: cross-vendor reproducibility (three AI providers) and inter-rater reliability (expert and trained panels). The two primary analyses remain gated: as of 28 July 2026 the detection panel is partially collected (12 registered reviewers have completed the full set, with others in progress) and the randomized comparison (Arm B) has 7 completed participants (3 in the JRS condition, 4 in the baseline), short of the pre-registered per-arm target and not yet run to analysis. No inferential result for the primary analyses is stated until the pre-registered sample and thresholds are met. All figures cited are verified against the study database, not memory.</w:t>
      </w:r>
    </w:p>
    <w:p>
      <w:pPr>
        <w:spacing w:after="150" w:line="276"/>
      </w:pPr>
      <w:r>
        <w:rPr>
          <w:rFonts w:ascii="Times New Roman" w:cs="Times New Roman" w:eastAsia="Times New Roman" w:hAnsi="Times New Roman"/>
          <w:b/>
          <w:bCs/>
          <w:sz w:val="24"/>
          <w:szCs w:val="24"/>
        </w:rPr>
        <w:t xml:space="preserve">Format note (for the author):</w:t>
      </w:r>
      <w:r>
        <w:rPr>
          <w:rFonts w:ascii="Times New Roman" w:cs="Times New Roman" w:eastAsia="Times New Roman" w:hAnsi="Times New Roman"/>
          <w:sz w:val="24"/>
          <w:szCs w:val="24"/>
        </w:rPr>
        <w:t xml:space="preserve"> the opening is written in a first-person reflective voice, which reads naturally as a </w:t>
      </w:r>
      <w:r>
        <w:rPr>
          <w:rFonts w:ascii="Times New Roman" w:cs="Times New Roman" w:eastAsia="Times New Roman" w:hAnsi="Times New Roman"/>
          <w:i/>
          <w:iCs/>
          <w:sz w:val="24"/>
          <w:szCs w:val="24"/>
        </w:rPr>
        <w:t xml:space="preserve">Perspective</w:t>
      </w:r>
      <w:r>
        <w:rPr>
          <w:rFonts w:ascii="Times New Roman" w:cs="Times New Roman" w:eastAsia="Times New Roman" w:hAnsi="Times New Roman"/>
          <w:sz w:val="24"/>
          <w:szCs w:val="24"/>
        </w:rPr>
        <w:t xml:space="preserve"> piece. For a strict empirical </w:t>
      </w:r>
      <w:r>
        <w:rPr>
          <w:rFonts w:ascii="Times New Roman" w:cs="Times New Roman" w:eastAsia="Times New Roman" w:hAnsi="Times New Roman"/>
          <w:i/>
          <w:iCs/>
          <w:sz w:val="24"/>
          <w:szCs w:val="24"/>
        </w:rPr>
        <w:t xml:space="preserve">Original Research</w:t>
      </w:r>
      <w:r>
        <w:rPr>
          <w:rFonts w:ascii="Times New Roman" w:cs="Times New Roman" w:eastAsia="Times New Roman" w:hAnsi="Times New Roman"/>
          <w:sz w:val="24"/>
          <w:szCs w:val="24"/>
        </w:rPr>
        <w:t xml:space="preserve"> submission, the personal opening can be shortened to a short framing paragraph and the anecdote moved to an author's note. Both versions can share the same Methods and Results.</w:t>
      </w:r>
    </w:p>
    <w:p>
      <w:pPr>
        <w:spacing w:after="130" w:before="180"/>
      </w:pPr>
      <w:r>
        <w:rPr>
          <w:rFonts w:ascii="Times New Roman" w:cs="Times New Roman" w:eastAsia="Times New Roman" w:hAnsi="Times New Roman"/>
          <w:b/>
          <w:bCs/>
          <w:i w:val="false"/>
          <w:iCs w:val="false"/>
          <w:sz w:val="26"/>
          <w:szCs w:val="26"/>
        </w:rPr>
        <w:t xml:space="preserve">Abstract</w:t>
      </w:r>
    </w:p>
    <w:p>
      <w:pPr>
        <w:spacing w:after="150" w:line="276"/>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or defended. We name this property Decision Reconstruction Risk (DRR).</w:t>
      </w:r>
    </w:p>
    <w:p>
      <w:pPr>
        <w:spacing w:after="150" w:line="276"/>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This paper defines DRR as a governance-relevant property of records, introduces the Justification Review Standard (JRS) as a record-level review method for detecting it, and describes a pre-registered program to test two questions: (1) is DRR a detectable property of AI-assisted records, and (2) does the JRS method improve its detection relative to unaided expert judgment?</w:t>
      </w:r>
    </w:p>
    <w:p>
      <w:pPr>
        <w:spacing w:after="150" w:line="276"/>
      </w:pPr>
      <w:r>
        <w:rPr>
          <w:rFonts w:ascii="Times New Roman" w:cs="Times New Roman" w:eastAsia="Times New Roman" w:hAnsi="Times New Roman"/>
          <w:b/>
          <w:bCs/>
          <w:sz w:val="24"/>
          <w:szCs w:val="24"/>
        </w:rPr>
        <w:t xml:space="preserve">Methods.</w:t>
      </w:r>
      <w:r>
        <w:rPr>
          <w:rFonts w:ascii="Times New Roman" w:cs="Times New Roman" w:eastAsia="Times New Roman" w:hAnsi="Times New Roman"/>
          <w:sz w:val="24"/>
          <w:szCs w:val="24"/>
        </w:rPr>
        <w:t xml:space="preserve"> A balanced corpus of 24 constructed, de-identified AI-generated records (12 grounded, 12 unsupported) is judged by an international panel of experienced reviewers against a verified answer key that was documented in advance and independently reproduced. A randomized comparison (Arm B) assigns fresh, JRS-naive participants to judge the same records either with the five JRS conditions or with a general prompt only, so that any accuracy difference is attributable to the standard rather than to expertise. Analysis follows a pre-registered plan with decision floors and chance-corrected agreement statistics.</w:t>
      </w:r>
    </w:p>
    <w:p>
      <w:pPr>
        <w:spacing w:after="150" w:line="276"/>
      </w:pPr>
      <w:r>
        <w:rPr>
          <w:rFonts w:ascii="Times New Roman" w:cs="Times New Roman" w:eastAsia="Times New Roman" w:hAnsi="Times New Roman"/>
          <w:b/>
          <w:bCs/>
          <w:sz w:val="24"/>
          <w:szCs w:val="24"/>
        </w:rPr>
        <w:t xml:space="preserve">Supporting results (complete).</w:t>
      </w:r>
      <w:r>
        <w:rPr>
          <w:rFonts w:ascii="Times New Roman" w:cs="Times New Roman" w:eastAsia="Times New Roman" w:hAnsi="Times New Roman"/>
          <w:sz w:val="24"/>
          <w:szCs w:val="24"/>
        </w:rPr>
        <w:t xml:space="preserve"> Two supporting analyses are reported. In a cross-vendor reproducibility test, three AI systems from three different providers (Anthropic, OpenAI, and Google) applied the JRS read to the same constructed records and agreed at a mean pairwise rate of 84 percent across 15 records. In a reliability test, independent expert and trained-reviewer panels applied the five conditions to a shared 10-record set; expert agreement reached Gwet's AC1 of 0.74 (95 percent confidence interval 0.40 to 1.00), in the substantial range, with marginal-sensitive coefficients and per-condition values reported alongside. These results support consistent application of the standard by independent machines and independent experts; they do not by themselves establish detection accuracy.</w:t>
      </w:r>
    </w:p>
    <w:p>
      <w:pPr>
        <w:spacing w:after="150" w:line="276"/>
      </w:pPr>
      <w:r>
        <w:rPr>
          <w:rFonts w:ascii="Times New Roman" w:cs="Times New Roman" w:eastAsia="Times New Roman" w:hAnsi="Times New Roman"/>
          <w:b/>
          <w:bCs/>
          <w:sz w:val="24"/>
          <w:szCs w:val="24"/>
        </w:rPr>
        <w:t xml:space="preserve">Primary results.</w:t>
      </w:r>
      <w:r>
        <w:rPr>
          <w:rFonts w:ascii="Times New Roman" w:cs="Times New Roman" w:eastAsia="Times New Roman" w:hAnsi="Times New Roman"/>
          <w:sz w:val="24"/>
          <w:szCs w:val="24"/>
        </w:rPr>
        <w:t xml:space="preserve"> To be completed. Reporting of the detection and randomized-comparison analyses is gated on the pre-registered sample and thresholds; current data are directional only and are not interpreted here.</w:t>
      </w:r>
    </w:p>
    <w:p>
      <w:pPr>
        <w:spacing w:after="150" w:line="276"/>
      </w:pPr>
      <w:r>
        <w:rPr>
          <w:rFonts w:ascii="Times New Roman" w:cs="Times New Roman" w:eastAsia="Times New Roman" w:hAnsi="Times New Roman"/>
          <w:b/>
          <w:bCs/>
          <w:sz w:val="24"/>
          <w:szCs w:val="24"/>
        </w:rPr>
        <w:t xml:space="preserve">Contribution.</w:t>
      </w:r>
      <w:r>
        <w:rPr>
          <w:rFonts w:ascii="Times New Roman" w:cs="Times New Roman" w:eastAsia="Times New Roman" w:hAnsi="Times New Roman"/>
          <w:sz w:val="24"/>
          <w:szCs w:val="24"/>
        </w:rPr>
        <w:t xml:space="preserve"> DRR names a documentation-governance problem that model-centric AI governance does not capture, and JRS offers a measurable, workflow-independent control for it. The validation design is offered as a template for evaluating documentation-quality controls in AI-assisted environments.</w:t>
      </w:r>
    </w:p>
    <w:p>
      <w:pPr>
        <w:spacing w:after="150" w:line="276"/>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 governance; documentation risk; accountability; decision defensibility; record-level review; responsible AI.</w:t>
      </w:r>
    </w:p>
    <w:p>
      <w:pPr>
        <w:spacing w:after="130" w:before="180"/>
      </w:pPr>
      <w:r>
        <w:rPr>
          <w:rFonts w:ascii="Times New Roman" w:cs="Times New Roman" w:eastAsia="Times New Roman" w:hAnsi="Times New Roman"/>
          <w:b/>
          <w:bCs/>
          <w:i w:val="false"/>
          <w:iCs w:val="false"/>
          <w:sz w:val="26"/>
          <w:szCs w:val="26"/>
        </w:rPr>
        <w:t xml:space="preserve">1. Introduction</w:t>
      </w:r>
    </w:p>
    <w:p>
      <w:pPr>
        <w:spacing w:after="150" w:line="276"/>
      </w:pPr>
      <w:r>
        <w:rPr>
          <w:rFonts w:ascii="Times New Roman" w:cs="Times New Roman" w:eastAsia="Times New Roman" w:hAnsi="Times New Roman"/>
          <w:i/>
          <w:iCs/>
          <w:sz w:val="24"/>
          <w:szCs w:val="24"/>
        </w:rPr>
        <w:t xml:space="preserve">Proposed opening in the voice of co-author Gabriela Cortez, for her review and revision. The recollections below are hers to confirm or rewrite in her own words; the manuscript will settle on a single first-person convention once co-authorship is finalized.</w:t>
      </w:r>
    </w:p>
    <w:p>
      <w:pPr>
        <w:spacing w:after="150" w:line="276"/>
      </w:pPr>
      <w:r>
        <w:rPr>
          <w:rFonts w:ascii="Times New Roman" w:cs="Times New Roman" w:eastAsia="Times New Roman" w:hAnsi="Times New Roman"/>
          <w:sz w:val="24"/>
          <w:szCs w:val="24"/>
        </w:rPr>
        <w:t xml:space="preserve">As a new intake officer at a civil rights commission, I wanted to be sure of one thing above all: that the people who came to us understood what was happening to them. My assignment was to help draft discrimination complaints, but I learned quickly that a complaint is only as good as whether the person it concerns can follow it.</w:t>
      </w:r>
    </w:p>
    <w:p>
      <w:pPr>
        <w:spacing w:after="150" w:line="276"/>
      </w:pPr>
      <w:r>
        <w:rPr>
          <w:rFonts w:ascii="Times New Roman" w:cs="Times New Roman" w:eastAsia="Times New Roman" w:hAnsi="Times New Roman"/>
          <w:sz w:val="24"/>
          <w:szCs w:val="24"/>
        </w:rPr>
        <w:t xml:space="preserve">I worked from a simple rule: everyone should stand on business. To stand on business is to take full responsibility for your words, decisions, and actions, and to follow through with conviction and consistency. I came to believe a record should be held to the same rule. A file cannot stand on business if the person it describes cannot understand it. That is why I translated intake records into Spanish for Spanish-speaking families: a record a person cannot read cannot be questioned, corrected, or trusted.</w:t>
      </w:r>
    </w:p>
    <w:p>
      <w:pPr>
        <w:spacing w:after="150" w:line="276"/>
      </w:pPr>
      <w:r>
        <w:rPr>
          <w:rFonts w:ascii="Times New Roman" w:cs="Times New Roman" w:eastAsia="Times New Roman" w:hAnsi="Times New Roman"/>
          <w:sz w:val="24"/>
          <w:szCs w:val="24"/>
        </w:rPr>
        <w:t xml:space="preserve">I also came to believe that a record, like the decision behind it, is only as resilient as the range of people who scrutinize it. A file that survives review by one reviewer, in one language, within one legal culture, has not truly been tested. That conviction is what led this work to be stress-tested through an international panel of professionals spanning many countries, languages, and domains.</w:t>
      </w:r>
    </w:p>
    <w:p>
      <w:pPr>
        <w:spacing w:after="150" w:line="276"/>
      </w:pPr>
      <w:r>
        <w:rPr>
          <w:rFonts w:ascii="Times New Roman" w:cs="Times New Roman" w:eastAsia="Times New Roman" w:hAnsi="Times New Roman"/>
          <w:sz w:val="24"/>
          <w:szCs w:val="24"/>
        </w:rPr>
        <w:t xml:space="preserve">Today, as generative AI increasingly automates the drafting of high-stakes corporate and investigative records, we face an unprecedented crisis of accessibility and accountability. The same fluency that makes AI-assisted drafting attractive also makes its output difficult to interrogate. A model can produce a record that reads as thorough, professional, and complete, while the evidence that would justify its conclusions never appears on the page. When the author who held that evidence in memory is no longer available, and the record must be examined on its own, the record may simply fail to explain itself.</w:t>
      </w:r>
    </w:p>
    <w:p>
      <w:pPr>
        <w:spacing w:after="150" w:line="276"/>
      </w:pPr>
      <w:r>
        <w:rPr>
          <w:rFonts w:ascii="Times New Roman" w:cs="Times New Roman" w:eastAsia="Times New Roman" w:hAnsi="Times New Roman"/>
          <w:sz w:val="24"/>
          <w:szCs w:val="24"/>
        </w:rPr>
        <w:t xml:space="preserve">We call this property Decision Reconstruction Risk (DRR): the condition in which a record cannot, on its own terms, allow an independent reviewer to reconstruct the basis for a consequential decision.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50" w:line="276"/>
      </w:pPr>
      <w:r>
        <w:rPr>
          <w:rFonts w:ascii="Times New Roman" w:cs="Times New Roman" w:eastAsia="Times New Roman" w:hAnsi="Times New Roman"/>
          <w:sz w:val="24"/>
          <w:szCs w:val="24"/>
        </w:rPr>
        <w:t xml:space="preserve">The stakes of this gap fall on two parties at once. For the person the record describes, an unreconstructable record removes the practical ability to understand a decision that touches their rights, livelihood, or dignity, and to contest it on fair terms; accountability to affected people begins with a record that can explain why. For the organization that produced it, the same gap is a latent liability: a record that cannot be reconstructed cannot be defended when it is later tested by a complaint, an audit, an investigation, a regulator, or a court. DRR is unusual among governance problems in that the individual's right to an explanation and the institution's ability to defend its own decisions are threatened by one and the same defect. A control that closes the gap therefore serves both, and we motivate this work accordingly: for the people affected by records and for the organizations accountable for them.</w:t>
      </w:r>
    </w:p>
    <w:p>
      <w:pPr>
        <w:spacing w:after="150" w:line="276"/>
      </w:pPr>
      <w:r>
        <w:rPr>
          <w:rFonts w:ascii="Times New Roman" w:cs="Times New Roman" w:eastAsia="Times New Roman" w:hAnsi="Times New Roman"/>
          <w:sz w:val="24"/>
          <w:szCs w:val="24"/>
        </w:rPr>
        <w:t xml:space="preserve">Most of the AI governance conversation addresses model risk: bias, robustness, security, and the behavior of the system itself. This paper addresses a complementary and under-examined problem: documentation risk, which arises after the model has assisted with drafting and lives in the record it helped produce. Documentation risk is workflow-independent. It does not matter whether the record was produced by a person, by a person assisted by AI, or by an automated pipeline. What matters is whether the resulting record can be independently reconstructed and defended.</w:t>
      </w:r>
    </w:p>
    <w:p>
      <w:pPr>
        <w:spacing w:after="150" w:line="276"/>
      </w:pPr>
      <w:r>
        <w:rPr>
          <w:rFonts w:ascii="Times New Roman" w:cs="Times New Roman" w:eastAsia="Times New Roman" w:hAnsi="Times New Roman"/>
          <w:sz w:val="24"/>
          <w:szCs w:val="24"/>
        </w:rPr>
        <w:t xml:space="preserve">This paper makes three contributions. First, it defines DRR as a governance-relevant, measurable property of records rather than an abstract concern. Second, it introduces the Justification Review Standard (JRS), a record-level review method that asks a single question of any record: can a later, independent reviewer reconstruct how the conclusion was reached from the record alone? Third, it describes a pre-registered validation program designed to test whether DRR is detectable and whether JRS improves its detection relative to unaided expert judgment, including a randomized comparison that isolates the value of the standard itself. Consistent with the validation-phase status of this work, we state the design and the pre-registered analysis plan in full and we do not report inferential results until the pre-registered sample and thresholds are met.</w:t>
      </w:r>
    </w:p>
    <w:p>
      <w:pPr>
        <w:spacing w:after="130" w:before="180"/>
      </w:pPr>
      <w:r>
        <w:rPr>
          <w:rFonts w:ascii="Times New Roman" w:cs="Times New Roman" w:eastAsia="Times New Roman" w:hAnsi="Times New Roman"/>
          <w:b/>
          <w:bCs/>
          <w:i w:val="false"/>
          <w:iCs w:val="false"/>
          <w:sz w:val="26"/>
          <w:szCs w:val="26"/>
        </w:rPr>
        <w:t xml:space="preserve">2. Background: documentation risk and the reconstruction gap</w:t>
      </w:r>
    </w:p>
    <w:p>
      <w:pPr>
        <w:spacing w:after="150" w:line="276"/>
      </w:pPr>
      <w:r>
        <w:rPr>
          <w:rFonts w:ascii="Times New Roman" w:cs="Times New Roman" w:eastAsia="Times New Roman" w:hAnsi="Times New Roman"/>
          <w:sz w:val="24"/>
          <w:szCs w:val="24"/>
        </w:rPr>
        <w:t xml:space="preserve">Accountability regimes in employment, housing, civil rights, public records, healthcare compliance, and financial supervision share a common assumption: that a consequential decision leaves behind a record from which its basis can be reconstructed. Appeals, audits, and litigation all depend on this. When a determination is challenged, the reviewer does not re-interview the decision-maker's memory. The reviewer reads the record.</w:t>
      </w:r>
    </w:p>
    <w:p>
      <w:pPr>
        <w:spacing w:after="150" w:line="276"/>
      </w:pPr>
      <w:r>
        <w:rPr>
          <w:rFonts w:ascii="Times New Roman" w:cs="Times New Roman" w:eastAsia="Times New Roman" w:hAnsi="Times New Roman"/>
          <w:sz w:val="24"/>
          <w:szCs w:val="24"/>
        </w:rPr>
        <w:t xml:space="preserve">Generative AI stresses this assumption in a specific way. Language models are trained to produce fluent, plausible, well-formed text. Fluency and evidentiary grounding are different properties, and a model optimizes the first without guaranteeing the second. The result is a class of records that are convincing on their surface and hollow underneath: the conclusion is stated confidently, the prose is professional, and the reasoning appears present, yet the specific facts, sources, dates, and inferential steps that would let a reader verify the conclusion are missing. Such a record reads as if it stands on business. It does not.</w:t>
      </w:r>
    </w:p>
    <w:p>
      <w:pPr>
        <w:spacing w:after="150" w:line="276"/>
      </w:pPr>
      <w:r>
        <w:rPr>
          <w:rFonts w:ascii="Times New Roman" w:cs="Times New Roman" w:eastAsia="Times New Roman" w:hAnsi="Times New Roman"/>
          <w:sz w:val="24"/>
          <w:szCs w:val="24"/>
        </w:rPr>
        <w:t xml:space="preserve">Existing AI governance instruments (for example, model risk frameworks, impact assessments, and technology inventories) largely measure the system and the process. They do not measure whether the resulting record is independently reviewable. That is the measurement gap this work addresses. DRR is proposed as an outcome-quality property of the record that can be assessed regardless of the tool used to produce it, and that sits alongside, not in place of, model-centric controls.</w:t>
      </w:r>
    </w:p>
    <w:p>
      <w:pPr>
        <w:spacing w:after="130" w:before="180"/>
      </w:pPr>
      <w:r>
        <w:rPr>
          <w:rFonts w:ascii="Times New Roman" w:cs="Times New Roman" w:eastAsia="Times New Roman" w:hAnsi="Times New Roman"/>
          <w:b/>
          <w:bCs/>
          <w:i/>
          <w:iCs/>
          <w:sz w:val="24"/>
          <w:szCs w:val="24"/>
        </w:rPr>
        <w:t xml:space="preserve">2.1 The record and the person it describes</w:t>
      </w:r>
    </w:p>
    <w:p>
      <w:pPr>
        <w:spacing w:after="150" w:line="276"/>
      </w:pPr>
      <w:r>
        <w:rPr>
          <w:rFonts w:ascii="Times New Roman" w:cs="Times New Roman" w:eastAsia="Times New Roman" w:hAnsi="Times New Roman"/>
          <w:sz w:val="24"/>
          <w:szCs w:val="24"/>
        </w:rPr>
        <w:t xml:space="preserve">Reconstructability is usually argued for in institutional terms: a defensible file, an auditable trail, a record that survives litigation. It has an equally important second face. A record is also the only account the affected person may ever receive of a decision that shaped their employment, housing, benefits, or access to justice, and a record that cannot be reconstructed cannot be understood or fairly questioned by the person it most concerns. Accessibility is part of this property, not separate from it: a record written in language the affected person cannot read, or reasoned in steps they cannot follow, fails the same reconstruction test that a court or regulator would later apply. Documentation quality is therefore not only a matter of organizational risk but of whether people can understand the decisions made about them, which is why this study recruited an internationally and linguistically diverse reviewer panel rather than a single-jurisdiction one.</w:t>
      </w:r>
    </w:p>
    <w:p>
      <w:pPr>
        <w:spacing w:after="150" w:line="276"/>
      </w:pPr>
      <w:r>
        <w:rPr>
          <w:rFonts w:ascii="Times New Roman" w:cs="Times New Roman" w:eastAsia="Times New Roman" w:hAnsi="Times New Roman"/>
          <w:i/>
          <w:iCs/>
          <w:sz w:val="24"/>
          <w:szCs w:val="24"/>
        </w:rPr>
        <w:t xml:space="preserve">This section is developed by co-author Gabriela Cortez, whose work on civil rights records and bilingual intake anchors the analysis; the paragraph above is the shared framing on which her fuller treatment builds.</w:t>
      </w:r>
    </w:p>
    <w:p>
      <w:pPr>
        <w:spacing w:after="130" w:before="180"/>
      </w:pPr>
      <w:r>
        <w:rPr>
          <w:rFonts w:ascii="Times New Roman" w:cs="Times New Roman" w:eastAsia="Times New Roman" w:hAnsi="Times New Roman"/>
          <w:b/>
          <w:bCs/>
          <w:i w:val="false"/>
          <w:iCs w:val="false"/>
          <w:sz w:val="26"/>
          <w:szCs w:val="26"/>
        </w:rPr>
        <w:t xml:space="preserve">3. The Justification Review Standard (JRS)</w:t>
      </w:r>
    </w:p>
    <w:p>
      <w:pPr>
        <w:spacing w:after="150" w:line="276"/>
      </w:pPr>
      <w:r>
        <w:rPr>
          <w:rFonts w:ascii="Times New Roman" w:cs="Times New Roman" w:eastAsia="Times New Roman" w:hAnsi="Times New Roman"/>
          <w:sz w:val="24"/>
          <w:szCs w:val="24"/>
        </w:rPr>
        <w:t xml:space="preserve">JRS is a record-level, pre-finalization review method. It evaluates a single record against five conditions and yields a three-level read.</w:t>
      </w:r>
    </w:p>
    <w:p>
      <w:pPr>
        <w:spacing w:after="150" w:line="276"/>
      </w:pPr>
      <w:r>
        <w:rPr>
          <w:rFonts w:ascii="Times New Roman" w:cs="Times New Roman" w:eastAsia="Times New Roman" w:hAnsi="Times New Roman"/>
          <w:b/>
          <w:bCs/>
          <w:sz w:val="24"/>
          <w:szCs w:val="24"/>
        </w:rPr>
        <w:t xml:space="preserve">The five conditions.</w:t>
      </w:r>
      <w:r>
        <w:rPr>
          <w:rFonts w:ascii="Times New Roman" w:cs="Times New Roman" w:eastAsia="Times New Roman" w:hAnsi="Times New Roman"/>
          <w:sz w:val="24"/>
          <w:szCs w:val="24"/>
        </w:rP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50" w:line="276"/>
      </w:pPr>
      <w:r>
        <w:rPr>
          <w:rFonts w:ascii="Times New Roman" w:cs="Times New Roman" w:eastAsia="Times New Roman" w:hAnsi="Times New Roman"/>
          <w:b/>
          <w:bCs/>
          <w:sz w:val="24"/>
          <w:szCs w:val="24"/>
        </w:rPr>
        <w:t xml:space="preserve">The three reads.</w:t>
      </w:r>
      <w:r>
        <w:rPr>
          <w:rFonts w:ascii="Times New Roman" w:cs="Times New Roman" w:eastAsia="Times New Roman" w:hAnsi="Times New Roman"/>
          <w:sz w:val="24"/>
          <w:szCs w:val="24"/>
        </w:rP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50" w:line="276"/>
      </w:pPr>
      <w:r>
        <w:rPr>
          <w:rFonts w:ascii="Times New Roman" w:cs="Times New Roman" w:eastAsia="Times New Roman" w:hAnsi="Times New Roman"/>
          <w:sz w:val="24"/>
          <w:szCs w:val="24"/>
        </w:rPr>
        <w:t xml:space="preserve">JRS is deliberately independent of any vendor, model, or drafting workflow. It is a governance layer that sits above the technology stack and evaluates the output the stack produces.</w:t>
      </w:r>
    </w:p>
    <w:p>
      <w:pPr>
        <w:spacing w:after="130" w:before="180"/>
      </w:pPr>
      <w:r>
        <w:rPr>
          <w:rFonts w:ascii="Times New Roman" w:cs="Times New Roman" w:eastAsia="Times New Roman" w:hAnsi="Times New Roman"/>
          <w:b/>
          <w:bCs/>
          <w:i w:val="false"/>
          <w:iCs w:val="false"/>
          <w:sz w:val="26"/>
          <w:szCs w:val="26"/>
        </w:rPr>
        <w:t xml:space="preserve">4. Methods</w:t>
      </w:r>
    </w:p>
    <w:p>
      <w:pPr>
        <w:spacing w:after="150" w:line="276"/>
      </w:pPr>
      <w:r>
        <w:rPr>
          <w:rFonts w:ascii="Times New Roman" w:cs="Times New Roman" w:eastAsia="Times New Roman" w:hAnsi="Times New Roman"/>
          <w:sz w:val="24"/>
          <w:szCs w:val="24"/>
        </w:rPr>
        <w:t xml:space="preserve">The validation program is organized as an evidence ladder. This paper centers on the detection rung (does JRS detect DRR) and the randomized comparison (does JRS add value), and it references the reproducibility and reliability rungs as supporting evidence.</w:t>
      </w:r>
    </w:p>
    <w:p>
      <w:pPr>
        <w:spacing w:after="130" w:before="180"/>
      </w:pPr>
      <w:r>
        <w:rPr>
          <w:rFonts w:ascii="Times New Roman" w:cs="Times New Roman" w:eastAsia="Times New Roman" w:hAnsi="Times New Roman"/>
          <w:b/>
          <w:bCs/>
          <w:i/>
          <w:iCs/>
          <w:sz w:val="24"/>
          <w:szCs w:val="24"/>
        </w:rPr>
        <w:t xml:space="preserve">4.1 Design overview</w:t>
      </w:r>
    </w:p>
    <w:p>
      <w:pPr>
        <w:pStyle w:val="ListParagraph"/>
        <w:numPr>
          <w:ilvl w:val="0"/>
          <w:numId w:val="1"/>
        </w:numPr>
        <w:spacing w:after="80"/>
      </w:pPr>
      <w:r>
        <w:rPr>
          <w:rFonts w:ascii="Times New Roman" w:cs="Times New Roman" w:eastAsia="Times New Roman" w:hAnsi="Times New Roman"/>
          <w:sz w:val="24"/>
          <w:szCs w:val="24"/>
        </w:rPr>
        <w:t xml:space="preserve">Reproducibility (supporting): three independent AI systems apply the JRS reads to the same records, to test whether the standard is applied consistently at machine level.</w:t>
      </w:r>
    </w:p>
    <w:p>
      <w:pPr>
        <w:pStyle w:val="ListParagraph"/>
        <w:numPr>
          <w:ilvl w:val="0"/>
          <w:numId w:val="1"/>
        </w:numPr>
        <w:spacing w:after="80"/>
      </w:pPr>
      <w:r>
        <w:rPr>
          <w:rFonts w:ascii="Times New Roman" w:cs="Times New Roman" w:eastAsia="Times New Roman" w:hAnsi="Times New Roman"/>
          <w:sz w:val="24"/>
          <w:szCs w:val="24"/>
        </w:rPr>
        <w:t xml:space="preserve">Reliability (supporting): independent human reviewers apply the reads to a shared record set, to test inter-rater agreement.</w:t>
      </w:r>
    </w:p>
    <w:p>
      <w:pPr>
        <w:pStyle w:val="ListParagraph"/>
        <w:numPr>
          <w:ilvl w:val="0"/>
          <w:numId w:val="1"/>
        </w:numPr>
        <w:spacing w:after="80"/>
      </w:pPr>
      <w:r>
        <w:rPr>
          <w:rFonts w:ascii="Times New Roman" w:cs="Times New Roman" w:eastAsia="Times New Roman" w:hAnsi="Times New Roman"/>
          <w:sz w:val="24"/>
          <w:szCs w:val="24"/>
        </w:rPr>
        <w:t xml:space="preserve">Detection accuracy (primary): reviewers judge a balanced, constructed corpus against a verified answer key.</w:t>
      </w:r>
    </w:p>
    <w:p>
      <w:pPr>
        <w:pStyle w:val="ListParagraph"/>
        <w:numPr>
          <w:ilvl w:val="0"/>
          <w:numId w:val="1"/>
        </w:numPr>
        <w:spacing w:after="80"/>
      </w:pPr>
      <w:r>
        <w:rPr>
          <w:rFonts w:ascii="Times New Roman" w:cs="Times New Roman" w:eastAsia="Times New Roman" w:hAnsi="Times New Roman"/>
          <w:sz w:val="24"/>
          <w:szCs w:val="24"/>
        </w:rPr>
        <w:t xml:space="preserve">Randomized comparison, Arm B (primary): fresh, JRS-naive participants are randomly assigned to judge the same records with JRS or without it, isolating the contribution of the standard.</w:t>
      </w:r>
    </w:p>
    <w:p>
      <w:pPr>
        <w:spacing w:after="130" w:before="180"/>
      </w:pPr>
      <w:r>
        <w:rPr>
          <w:rFonts w:ascii="Times New Roman" w:cs="Times New Roman" w:eastAsia="Times New Roman" w:hAnsi="Times New Roman"/>
          <w:b/>
          <w:bCs/>
          <w:i/>
          <w:iCs/>
          <w:sz w:val="24"/>
          <w:szCs w:val="24"/>
        </w:rPr>
        <w:t xml:space="preserve">4.2 Materials: the constructed corpus and the verified key</w:t>
      </w:r>
    </w:p>
    <w:p>
      <w:pPr>
        <w:spacing w:after="150" w:line="276"/>
      </w:pPr>
      <w:r>
        <w:rPr>
          <w:rFonts w:ascii="Times New Roman" w:cs="Times New Roman" w:eastAsia="Times New Roman" w:hAnsi="Times New Roman"/>
          <w:sz w:val="24"/>
          <w:szCs w:val="24"/>
        </w:rPr>
        <w:t xml:space="preserve">The corpus is 24 constructed, de-identified, AI-generated records drawn from high-stakes documentation contexts (for example, HR and employment, investigations, compliance and audit, public records, and AI-assisted summaries). The set is balanced: 12 records are grounded (their conclusions are supported by content present in the record) and 12 are unsupported (their conclusions read as complete but lack a reconstructable basis). Records are presented unlabeled and in randomized order.</w:t>
      </w:r>
    </w:p>
    <w:p>
      <w:pPr>
        <w:spacing w:after="150" w:line="276"/>
      </w:pPr>
      <w:r>
        <w:rPr>
          <w:rFonts w:ascii="Times New Roman" w:cs="Times New Roman" w:eastAsia="Times New Roman" w:hAnsi="Times New Roman"/>
          <w:sz w:val="24"/>
          <w:szCs w:val="24"/>
        </w:rPr>
        <w:t xml:space="preserve">The answer key was fixed in advance. The author-side intended classification of each record was documented before verification, and the key was then independently reproduced by blind raters who did not see the study's hypotheses. This procedure is designed to remove the circularity objection that the key was fit to the standard. The key and its verification packet are retained and are available to reviewers under the study's data-availability terms; the key itself is kept off the public site to protect the blind study.</w:t>
      </w:r>
    </w:p>
    <w:p>
      <w:pPr>
        <w:spacing w:after="130" w:before="180"/>
      </w:pPr>
      <w:r>
        <w:rPr>
          <w:rFonts w:ascii="Times New Roman" w:cs="Times New Roman" w:eastAsia="Times New Roman" w:hAnsi="Times New Roman"/>
          <w:b/>
          <w:bCs/>
          <w:i/>
          <w:iCs/>
          <w:sz w:val="24"/>
          <w:szCs w:val="24"/>
        </w:rPr>
        <w:t xml:space="preserve">4.3 Participants</w:t>
      </w:r>
    </w:p>
    <w:p>
      <w:pPr>
        <w:spacing w:after="150" w:line="276"/>
      </w:pPr>
      <w:r>
        <w:rPr>
          <w:rFonts w:ascii="Times New Roman" w:cs="Times New Roman" w:eastAsia="Times New Roman" w:hAnsi="Times New Roman"/>
          <w:sz w:val="24"/>
          <w:szCs w:val="24"/>
        </w:rPr>
        <w:t xml:space="preserve">The detection panel is an international group of experienced professionals in relevant domains (AI governance, compliance, audit, human resources, investigations, data privacy, records, and law). As of 28 July 2026, more than 25 reviewers are registered and 12 have completed the full 24-record set, with additional reviewers in progress; the completed reviewers alone span 10 countries on 5 continents and multiple professional domains and first languages. Reviewers participate in a personal capacity, without compensation, and are recognized as named contributors with their consent. Participation is voluntary and may be withdrawn before publication.</w:t>
      </w:r>
    </w:p>
    <w:p>
      <w:pPr>
        <w:spacing w:after="150" w:line="276"/>
      </w:pPr>
      <w:r>
        <w:rPr>
          <w:rFonts w:ascii="Times New Roman" w:cs="Times New Roman" w:eastAsia="Times New Roman" w:hAnsi="Times New Roman"/>
          <w:sz w:val="24"/>
          <w:szCs w:val="24"/>
        </w:rPr>
        <w:t xml:space="preserve">The randomized comparison (Arm B) recruits a separate batch of JRS-naive participants, that is, professionals who have not been exposed to the JRS method or its materials, so that the no-standard condition reflects genuinely unaided judgment.</w:t>
      </w:r>
    </w:p>
    <w:p>
      <w:pPr>
        <w:spacing w:after="130" w:before="180"/>
      </w:pPr>
      <w:r>
        <w:rPr>
          <w:rFonts w:ascii="Times New Roman" w:cs="Times New Roman" w:eastAsia="Times New Roman" w:hAnsi="Times New Roman"/>
          <w:b/>
          <w:bCs/>
          <w:i/>
          <w:iCs/>
          <w:sz w:val="24"/>
          <w:szCs w:val="24"/>
        </w:rPr>
        <w:t xml:space="preserve">4.4 The randomized comparison (Arm B)</w:t>
      </w:r>
    </w:p>
    <w:p>
      <w:pPr>
        <w:spacing w:after="150" w:line="276"/>
      </w:pPr>
      <w:r>
        <w:rPr>
          <w:rFonts w:ascii="Times New Roman" w:cs="Times New Roman" w:eastAsia="Times New Roman" w:hAnsi="Times New Roman"/>
          <w:sz w:val="24"/>
          <w:szCs w:val="24"/>
        </w:rPr>
        <w:t xml:space="preserve">Arm B isolates the value of the standard. Fresh participants are randomly assigned, before they judge any record, to one of two conditions, with the assignment fixed for that participant and recorded with a timestamp:</w:t>
      </w:r>
    </w:p>
    <w:p>
      <w:pPr>
        <w:pStyle w:val="ListParagraph"/>
        <w:numPr>
          <w:ilvl w:val="0"/>
          <w:numId w:val="1"/>
        </w:numPr>
        <w:spacing w:after="80"/>
      </w:pPr>
      <w:r>
        <w:rPr>
          <w:rFonts w:ascii="Times New Roman" w:cs="Times New Roman" w:eastAsia="Times New Roman" w:hAnsi="Times New Roman"/>
          <w:sz w:val="24"/>
          <w:szCs w:val="24"/>
        </w:rPr>
        <w:t xml:space="preserve">B1 (JRS condition): for each record the participant gives a JRS read (Ready, Needs work, or Gap) after being shown the five conditions, plus a would-rely judgment.</w:t>
      </w:r>
    </w:p>
    <w:p>
      <w:pPr>
        <w:pStyle w:val="ListParagraph"/>
        <w:numPr>
          <w:ilvl w:val="0"/>
          <w:numId w:val="1"/>
        </w:numPr>
        <w:spacing w:after="80"/>
      </w:pPr>
      <w:r>
        <w:rPr>
          <w:rFonts w:ascii="Times New Roman" w:cs="Times New Roman" w:eastAsia="Times New Roman" w:hAnsi="Times New Roman"/>
          <w:sz w:val="24"/>
          <w:szCs w:val="24"/>
        </w:rPr>
        <w:t xml:space="preserve">B2 (baseline condition): for each record the participant answers a single general question, whether the record is adequately supported to rely on in a high-stakes, accountable decision (Yes or No), with no exposure to the JRS conditions.</w:t>
      </w:r>
    </w:p>
    <w:p>
      <w:pPr>
        <w:spacing w:after="150" w:line="276"/>
      </w:pPr>
      <w:r>
        <w:rPr>
          <w:rFonts w:ascii="Times New Roman" w:cs="Times New Roman" w:eastAsia="Times New Roman" w:hAnsi="Times New Roman"/>
          <w:sz w:val="24"/>
          <w:szCs w:val="24"/>
        </w:rPr>
        <w:t xml:space="preserve">Both conditions judge identical records. Because assignment is random and the two conditions differ only in whether the JRS method is provided, a difference in detection accuracy between B1 and B2 is attributable to the standard rather than to reviewer expertise. Assignment is implemented by a deterministic, auditable function of the participant code, and codes are issued in sequence so that participants are not steered into conditions.</w:t>
      </w:r>
    </w:p>
    <w:p>
      <w:pPr>
        <w:spacing w:after="130" w:before="180"/>
      </w:pPr>
      <w:r>
        <w:rPr>
          <w:rFonts w:ascii="Times New Roman" w:cs="Times New Roman" w:eastAsia="Times New Roman" w:hAnsi="Times New Roman"/>
          <w:b/>
          <w:bCs/>
          <w:i/>
          <w:iCs/>
          <w:sz w:val="24"/>
          <w:szCs w:val="24"/>
        </w:rPr>
        <w:t xml:space="preserve">4.5 Pre-registered analysis plan</w:t>
      </w:r>
    </w:p>
    <w:p>
      <w:pPr>
        <w:spacing w:after="150" w:line="276"/>
      </w:pPr>
      <w:r>
        <w:rPr>
          <w:rFonts w:ascii="Times New Roman" w:cs="Times New Roman" w:eastAsia="Times New Roman" w:hAnsi="Times New Roman"/>
          <w:sz w:val="24"/>
          <w:szCs w:val="24"/>
        </w:rPr>
        <w:t xml:space="preserve">Analysis follows a plan registered before results are examined. In summary: reliability is qualified by a pre-set chance-corrected agreement floor; detection accuracy is evaluated against chance and a pre-set accuracy floor, reported with sensitivity (detection of unsupported records) and specificity (correct pass of grounded records); and the Arm B comparison is evaluated against a pre-set superiority threshold for the JRS condition over the baseline. Agreement is reported with chance-corrected statistics (Gwet's AC1 as primary, with companion coefficients) to handle high-agreement paradoxes. Failing a floor is reported as a null result, not omitted. The full plan, including exact thresholds, is held in the study's pre-registration.</w:t>
      </w:r>
    </w:p>
    <w:p>
      <w:pPr>
        <w:spacing w:after="130" w:before="180"/>
      </w:pPr>
      <w:r>
        <w:rPr>
          <w:rFonts w:ascii="Times New Roman" w:cs="Times New Roman" w:eastAsia="Times New Roman" w:hAnsi="Times New Roman"/>
          <w:b/>
          <w:bCs/>
          <w:i/>
          <w:iCs/>
          <w:sz w:val="24"/>
          <w:szCs w:val="24"/>
        </w:rPr>
        <w:t xml:space="preserve">4.6 Ethics, consent, and confidentiality</w:t>
      </w:r>
    </w:p>
    <w:p>
      <w:pPr>
        <w:spacing w:after="150" w:line="276"/>
      </w:pPr>
      <w:r>
        <w:rPr>
          <w:rFonts w:ascii="Times New Roman" w:cs="Times New Roman" w:eastAsia="Times New Roman" w:hAnsi="Times New Roman"/>
          <w:sz w:val="24"/>
          <w:szCs w:val="24"/>
        </w:rPr>
        <w:t xml:space="preserve">All records are constructed and de-identified; none is internal, confidential, or tied to a real individual or organization. Participation is voluntary, uncompensated, and in a personal capacity. Reviewer responses are stored on an append-only basis and used only in aggregate. Attribution is opt-in: contributors are named only with consent, may participate anonymously, and may withdraw their name or contribution before any publication. The study makes no proven-effectiveness claim and is labeled as a validation-phase study throughout.</w:t>
      </w:r>
    </w:p>
    <w:p>
      <w:pPr>
        <w:spacing w:after="130" w:before="180"/>
      </w:pPr>
      <w:r>
        <w:rPr>
          <w:rFonts w:ascii="Times New Roman" w:cs="Times New Roman" w:eastAsia="Times New Roman" w:hAnsi="Times New Roman"/>
          <w:b/>
          <w:bCs/>
          <w:i/>
          <w:iCs/>
          <w:sz w:val="24"/>
          <w:szCs w:val="24"/>
        </w:rPr>
        <w:t xml:space="preserve">4.7 Supporting analyses: reproducibility and reliability</w:t>
      </w:r>
    </w:p>
    <w:p>
      <w:pPr>
        <w:spacing w:after="150" w:line="276"/>
      </w:pPr>
      <w:r>
        <w:rPr>
          <w:rFonts w:ascii="Times New Roman" w:cs="Times New Roman" w:eastAsia="Times New Roman" w:hAnsi="Times New Roman"/>
          <w:sz w:val="24"/>
          <w:szCs w:val="24"/>
        </w:rPr>
        <w:t xml:space="preserve">Two supporting analyses test whether the JRS read is applied consistently, a precondition for the detection question. In the reproducibility analysis (machine level), each constructed record is judged by three large language models, one from each of three independent vendors: Anthropic claude-opus-4-8, OpenAI gpt-5, and Google Gemini. Cross-vendor models are used, rather than three instances of one provider, so that agreement reflects the method rather than a single model lineage; the measure is mean pairwise agreement on the JRS determination, run as an automated nightly process. In the reliability analysis (human level), independent raters apply the five conditions to a shared record set and record a determination. Raters whose codes begin with E are experts; the remainder are trained reviewers. Agreement is assessed with Gwet's AC1 (Gwet, 2008) as the primary chance-corrected coefficient, chosen for robustness to the kappa paradox under skewed marginals (Feinstein and Cicchetti, 1990; Byrt et al., 1993), with Krippendorff's alpha (Krippendorff, 2004), Fleiss' kappa (Fleiss, 1971), and per-condition AC1 reported alongside; 95 percent confidence intervals are computed from Gwet's linearization variance and corroborated by a subject-level bootstrap. Both analyses follow the same pre-registered analysis plan, dated 6 July 2026, as the detection rung.</w:t>
      </w:r>
    </w:p>
    <w:p>
      <w:pPr>
        <w:spacing w:after="130" w:before="180"/>
      </w:pPr>
      <w:r>
        <w:rPr>
          <w:rFonts w:ascii="Times New Roman" w:cs="Times New Roman" w:eastAsia="Times New Roman" w:hAnsi="Times New Roman"/>
          <w:b/>
          <w:bCs/>
          <w:i w:val="false"/>
          <w:iCs w:val="false"/>
          <w:sz w:val="26"/>
          <w:szCs w:val="26"/>
        </w:rPr>
        <w:t xml:space="preserve">5. Results</w:t>
      </w:r>
    </w:p>
    <w:p>
      <w:pPr>
        <w:spacing w:after="130" w:before="180"/>
      </w:pPr>
      <w:r>
        <w:rPr>
          <w:rFonts w:ascii="Times New Roman" w:cs="Times New Roman" w:eastAsia="Times New Roman" w:hAnsi="Times New Roman"/>
          <w:b/>
          <w:bCs/>
          <w:i/>
          <w:iCs/>
          <w:sz w:val="24"/>
          <w:szCs w:val="24"/>
        </w:rPr>
        <w:t xml:space="preserve">5.1 Supporting results: reproducibility and reliability (complete)</w:t>
      </w:r>
    </w:p>
    <w:p>
      <w:pPr>
        <w:spacing w:after="150" w:line="276"/>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Across 15 constructed records, the three cross-vendor models (Anthropic claude-opus-4-8, OpenAI gpt-5, and Google Gemini) reached a mean pairwise agreement of 84 percent on the JRS determination (latest automated run 2026-07-06; the figure moved within a band of 78 to 87 percent as the set grew from 3 to 15 records). This indicates consistent application at machine level and is not a measure of correctness.</w:t>
      </w:r>
    </w:p>
    <w:p>
      <w:pPr>
        <w:spacing w:after="150" w:line="276"/>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On a shared set of 10 records (108 determinations, 36 from experts and 72 from trained reviewers), expert reviewers reached Gwet's AC1 of 0.74 (95 percent CI 0.40 to 1.00; raw agreement 88 percent), in the substantial range and above the pre-registered point threshold of 0.61; trained reviewers reached 0.63 (95 percent CI 0.26 to 1.00; raw agreement 83 percent). The determination distribution was skewed, at 69 percent Gap, 18 percent Needs work, and 13 percent Ready. Under that skew the marginal-sensitive coefficients diverge from AC1 as the analysis plan anticipated: for experts Krippendorff's alpha is 0.62 and Fleiss' kappa 0.65, tracking AC1; for trained reviewers they fall to 0.30 and 0.28, the signature of the kappa paradox, which is the documented reason AC1 was pre-registered as the primary coefficient. Per-condition AC1, a secondary and exploratory analysis, ranged from 0.25 to 0.55 for experts and 0.19 to 0.51 for trained reviewers, all below the determination-level values, as expected when raters reach the same determination through different combinations of conditions. These reliability figures are interim: they rest on 10 records against a pre-registered pooled target of approximately 26, so the confidence intervals are wide and the plan's lower-bound criterion (95 percent CI lower bound at least 0.41) sits on the boundary, at 0.40 by the linearization variance and 0.43 by the bootstrap, and is settled by completing the pooled set. Taken together, the supporting analyses indicate that the JRS read is applied consistently by independent AI systems and by independent human experts; they do not by themselves establish that the read is accurate, which is the detection question addressed next.</w:t>
      </w:r>
    </w:p>
    <w:p>
      <w:pPr>
        <w:spacing w:after="130" w:before="180"/>
      </w:pPr>
      <w:r>
        <w:rPr>
          <w:rFonts w:ascii="Times New Roman" w:cs="Times New Roman" w:eastAsia="Times New Roman" w:hAnsi="Times New Roman"/>
          <w:b/>
          <w:bCs/>
          <w:i/>
          <w:iCs/>
          <w:sz w:val="24"/>
          <w:szCs w:val="24"/>
        </w:rPr>
        <w:t xml:space="preserve">5.2 Primary results: detection and randomized comparison (gated; to be completed)</w:t>
      </w:r>
    </w:p>
    <w:p>
      <w:pPr>
        <w:spacing w:after="150" w:line="276"/>
      </w:pPr>
      <w:r>
        <w:rPr>
          <w:rFonts w:ascii="Times New Roman" w:cs="Times New Roman" w:eastAsia="Times New Roman" w:hAnsi="Times New Roman"/>
          <w:sz w:val="24"/>
          <w:szCs w:val="24"/>
        </w:rPr>
        <w:t xml:space="preserve">Results for the two primary analyses are not reported in this draft. Reporting is conditional on reaching the pre-registered sample with the required spread and on the pre-registered thresholds. The current state is descriptive and directional only: as of 28 July 2026 the detection panel is partially collected (12 registered reviewers have completed the full set, with others in progress), and the randomized comparison has enrolled participants, of whom 7 have completed the set (3 in the JRS condition and 4 in the baseline), short of the pre-registered per-arm target and not yet run to analysis. No sensitivity, specificity, agreement, or between-condition figure is stated here, because stating one before the pre-registered conditions are met would violate the study's own analysis plan. When complete, this section will report: the cross-tabulation of JRS read against the verified key; sensitivity and specificity with intervals; inter-rater agreement on the detection set; and the B1-versus-B2 comparison against the pre-registered superiority threshold.</w:t>
      </w:r>
    </w:p>
    <w:p>
      <w:pPr>
        <w:spacing w:after="130" w:before="180"/>
      </w:pPr>
      <w:r>
        <w:rPr>
          <w:rFonts w:ascii="Times New Roman" w:cs="Times New Roman" w:eastAsia="Times New Roman" w:hAnsi="Times New Roman"/>
          <w:b/>
          <w:bCs/>
          <w:i w:val="false"/>
          <w:iCs w:val="false"/>
          <w:sz w:val="26"/>
          <w:szCs w:val="26"/>
        </w:rPr>
        <w:t xml:space="preserve">6. Discussion (conditional)</w:t>
      </w:r>
    </w:p>
    <w:p>
      <w:pPr>
        <w:spacing w:after="150" w:line="276"/>
      </w:pPr>
      <w:r>
        <w:rPr>
          <w:rFonts w:ascii="Times New Roman" w:cs="Times New Roman" w:eastAsia="Times New Roman" w:hAnsi="Times New Roman"/>
          <w:sz w:val="24"/>
          <w:szCs w:val="24"/>
        </w:rPr>
        <w:t xml:space="preserve">The discussion is framed conditionally, pending results. If DRR proves detectable and JRS improves detection over unaided judgment, the governance implication is concrete: documentation quality becomes a measurable, workflow-independent control that organizations can apply before a record is finalized, complementary to model-centric AI governance. If JRS does not improve detection, that too is an informative result, because it would indicate that experienced reviewers already detect DRR without the method, and it would redirect effort toward training or tooling rather than a review standard. Either outcome advances the underlying goal, which is to make AI-assisted records that can stand on business: records that a later, independent reviewer can reconstruct and defend. The implication runs in two directions at once. For organizations, a validated control offers a way to test and strengthen a record before it is finalized, so that consequential decisions remain defensible under audit, regulatory review, and litigation. For the people those records describe, the same control supports a more basic interest: a record that can explain why a decision was made, and therefore a fairer opportunity to understand and question it. A documentation control that advances both accountability to affected persons and defensibility for institutions is not a trade-off between the two; it is the same property viewed from either side.</w:t>
      </w:r>
    </w:p>
    <w:p>
      <w:pPr>
        <w:spacing w:after="130" w:before="180"/>
      </w:pPr>
      <w:r>
        <w:rPr>
          <w:rFonts w:ascii="Times New Roman" w:cs="Times New Roman" w:eastAsia="Times New Roman" w:hAnsi="Times New Roman"/>
          <w:b/>
          <w:bCs/>
          <w:i w:val="false"/>
          <w:iCs w:val="false"/>
          <w:sz w:val="26"/>
          <w:szCs w:val="26"/>
        </w:rPr>
        <w:t xml:space="preserve">7. Limitations</w:t>
      </w:r>
    </w:p>
    <w:p>
      <w:pPr>
        <w:spacing w:after="150" w:line="276"/>
      </w:pPr>
      <w:r>
        <w:rPr>
          <w:rFonts w:ascii="Times New Roman" w:cs="Times New Roman" w:eastAsia="Times New Roman" w:hAnsi="Times New Roman"/>
          <w:sz w:val="24"/>
          <w:szCs w:val="24"/>
        </w:rPr>
        <w:t xml:space="preserve">The corpus is constructed rather than drawn from live records, which supports a clean detection test but does not establish real-world effectiveness; criterion validity against documented real-case outcomes is a separate line of work. The panel is recruited, not sampled, and self-selects for interest in the topic. Generalization beyond the sampled domains and jurisdictions is not claimed. JRS remains in a validation phase and makes no proven-effectiveness claim.</w:t>
      </w:r>
    </w:p>
    <w:p>
      <w:pPr>
        <w:spacing w:after="130" w:before="180"/>
      </w:pPr>
      <w:r>
        <w:rPr>
          <w:rFonts w:ascii="Times New Roman" w:cs="Times New Roman" w:eastAsia="Times New Roman" w:hAnsi="Times New Roman"/>
          <w:b/>
          <w:bCs/>
          <w:i w:val="false"/>
          <w:iCs w:val="false"/>
          <w:sz w:val="26"/>
          <w:szCs w:val="26"/>
        </w:rPr>
        <w:t xml:space="preserve">8. Conclusion</w:t>
      </w:r>
    </w:p>
    <w:p>
      <w:pPr>
        <w:spacing w:after="150" w:line="276"/>
      </w:pPr>
      <w:r>
        <w:rPr>
          <w:rFonts w:ascii="Times New Roman" w:cs="Times New Roman" w:eastAsia="Times New Roman" w:hAnsi="Times New Roman"/>
          <w:sz w:val="24"/>
          <w:szCs w:val="24"/>
        </w:rPr>
        <w:t xml:space="preserve">The drafting tool and the technology stack will keep changing. The evidentiary test does not. A record that cannot be reconstructed from its own contents cannot be independently defended, whoever or whatever produced it. Decision Reconstruction Risk names that gap, and the Justification Review Standard offers a measurable way to detect it before a record is finalized. This paper sets out the construct, the method, and a pre-registered design to test both detectability and the added value of the standard, so that the resulting claims, when made, are earned rather than asserted.</w:t>
      </w:r>
    </w:p>
    <w:p>
      <w:pPr>
        <w:spacing w:after="130" w:before="180"/>
      </w:pPr>
      <w:r>
        <w:rPr>
          <w:rFonts w:ascii="Times New Roman" w:cs="Times New Roman" w:eastAsia="Times New Roman" w:hAnsi="Times New Roman"/>
          <w:b/>
          <w:bCs/>
          <w:i w:val="false"/>
          <w:iCs w:val="false"/>
          <w:sz w:val="26"/>
          <w:szCs w:val="26"/>
        </w:rPr>
        <w:t xml:space="preserve">References</w:t>
      </w:r>
    </w:p>
    <w:p>
      <w:pPr>
        <w:spacing w:after="150" w:line="276"/>
      </w:pPr>
      <w:r>
        <w:rPr>
          <w:rFonts w:ascii="Times New Roman" w:cs="Times New Roman" w:eastAsia="Times New Roman" w:hAnsi="Times New Roman"/>
          <w:sz w:val="24"/>
          <w:szCs w:val="24"/>
        </w:rPr>
        <w:t xml:space="preserve">Byrt, T., Bishop, J., Carlin, J.B., 1993. Bias, prevalence and kappa. Journal of Clinical Epidemiology 46 (5), 423-429.</w:t>
      </w:r>
    </w:p>
    <w:p>
      <w:pPr>
        <w:spacing w:after="150" w:line="276"/>
      </w:pPr>
      <w:r>
        <w:rPr>
          <w:rFonts w:ascii="Times New Roman" w:cs="Times New Roman" w:eastAsia="Times New Roman" w:hAnsi="Times New Roman"/>
          <w:sz w:val="24"/>
          <w:szCs w:val="24"/>
        </w:rPr>
        <w:t xml:space="preserve">Cohen, J., 1960. A coefficient of agreement for nominal scales. Educational and Psychological Measurement 20 (1), 37-46.</w:t>
      </w:r>
    </w:p>
    <w:p>
      <w:pPr>
        <w:spacing w:after="150" w:line="276"/>
      </w:pPr>
      <w:r>
        <w:rPr>
          <w:rFonts w:ascii="Times New Roman" w:cs="Times New Roman" w:eastAsia="Times New Roman" w:hAnsi="Times New Roman"/>
          <w:sz w:val="24"/>
          <w:szCs w:val="24"/>
        </w:rPr>
        <w:t xml:space="preserve">Feinstein, A.R., Cicchetti, D.V., 1990. High agreement but low kappa: I. The problems of two paradoxes. Journal of Clinical Epidemiology 43 (6), 543-549.</w:t>
      </w:r>
    </w:p>
    <w:p>
      <w:pPr>
        <w:spacing w:after="150" w:line="276"/>
      </w:pPr>
      <w:r>
        <w:rPr>
          <w:rFonts w:ascii="Times New Roman" w:cs="Times New Roman" w:eastAsia="Times New Roman" w:hAnsi="Times New Roman"/>
          <w:sz w:val="24"/>
          <w:szCs w:val="24"/>
        </w:rPr>
        <w:t xml:space="preserve">Fleiss, J.L., 1971. Measuring nominal scale agreement among many raters. Psychological Bulletin 76 (5), 378-382.</w:t>
      </w:r>
    </w:p>
    <w:p>
      <w:pPr>
        <w:spacing w:after="150" w:line="276"/>
      </w:pPr>
      <w:r>
        <w:rPr>
          <w:rFonts w:ascii="Times New Roman" w:cs="Times New Roman" w:eastAsia="Times New Roman" w:hAnsi="Times New Roman"/>
          <w:sz w:val="24"/>
          <w:szCs w:val="24"/>
        </w:rPr>
        <w:t xml:space="preserve">Gwet, K.L., 2008. Computing inter-rater reliability and its variance in the presence of high agreement. British Journal of Mathematical and Statistical Psychology 61 (1), 29-48.</w:t>
      </w:r>
    </w:p>
    <w:p>
      <w:pPr>
        <w:spacing w:after="150" w:line="276"/>
      </w:pPr>
      <w:r>
        <w:rPr>
          <w:rFonts w:ascii="Times New Roman" w:cs="Times New Roman" w:eastAsia="Times New Roman" w:hAnsi="Times New Roman"/>
          <w:sz w:val="24"/>
          <w:szCs w:val="24"/>
        </w:rPr>
        <w:t xml:space="preserve">Gwet, K.L., 2014. Handbook of Inter-Rater Reliability, fourth ed. Advanced Analytics, Gaithersburg, MD.</w:t>
      </w:r>
    </w:p>
    <w:p>
      <w:pPr>
        <w:spacing w:after="150" w:line="276"/>
      </w:pPr>
      <w:r>
        <w:rPr>
          <w:rFonts w:ascii="Times New Roman" w:cs="Times New Roman" w:eastAsia="Times New Roman" w:hAnsi="Times New Roman"/>
          <w:sz w:val="24"/>
          <w:szCs w:val="24"/>
        </w:rPr>
        <w:t xml:space="preserve">Krippendorff, K., 2004. Content Analysis: An Introduction to Its Methodology, second ed. Sage, Thousand Oaks, CA.</w:t>
      </w:r>
    </w:p>
    <w:p>
      <w:pPr>
        <w:spacing w:after="150" w:line="276"/>
      </w:pPr>
      <w:r>
        <w:rPr>
          <w:rFonts w:ascii="Times New Roman" w:cs="Times New Roman" w:eastAsia="Times New Roman" w:hAnsi="Times New Roman"/>
          <w:sz w:val="24"/>
          <w:szCs w:val="24"/>
        </w:rPr>
        <w:t xml:space="preserve">Landis, J.R., Koch, G.G., 1977. The measurement of observer agreement for categorical data. Biometrics 33 (1), 159-174.</w:t>
      </w:r>
    </w:p>
    <w:p>
      <w:pPr>
        <w:spacing w:after="130" w:before="180"/>
      </w:pPr>
      <w:r>
        <w:rPr>
          <w:rFonts w:ascii="Times New Roman" w:cs="Times New Roman" w:eastAsia="Times New Roman" w:hAnsi="Times New Roman"/>
          <w:b/>
          <w:bCs/>
          <w:i w:val="false"/>
          <w:iCs w:val="false"/>
          <w:sz w:val="26"/>
          <w:szCs w:val="26"/>
        </w:rPr>
        <w:t xml:space="preserve">Acknowledgments</w:t>
      </w:r>
    </w:p>
    <w:p>
      <w:pPr>
        <w:spacing w:after="150" w:line="276"/>
      </w:pPr>
      <w:r>
        <w:rPr>
          <w:rFonts w:ascii="Times New Roman" w:cs="Times New Roman" w:eastAsia="Times New Roman" w:hAnsi="Times New Roman"/>
          <w:sz w:val="24"/>
          <w:szCs w:val="24"/>
        </w:rPr>
        <w:t xml:space="preserve">I thank the international reviewer panel for their care and independent judgment. Reviewers are recognized as named contributors with their consent; they are not co-authors of this paper. Gabriela Cortez, whose insistence that a record must be understandable to the people it affects shaped this work and inspired its international panel, is a co-author (see author contributions), and her reviewer participation is recognized on the same terms as the rest of the panel.</w:t>
      </w:r>
    </w:p>
    <w:p>
      <w:pPr>
        <w:spacing w:after="130" w:before="180"/>
      </w:pPr>
      <w:r>
        <w:rPr>
          <w:rFonts w:ascii="Times New Roman" w:cs="Times New Roman" w:eastAsia="Times New Roman" w:hAnsi="Times New Roman"/>
          <w:b/>
          <w:bCs/>
          <w:i w:val="false"/>
          <w:iCs w:val="false"/>
          <w:sz w:val="26"/>
          <w:szCs w:val="26"/>
        </w:rPr>
        <w:t xml:space="preserve">Data availability and pre-registration</w:t>
      </w:r>
    </w:p>
    <w:p>
      <w:pPr>
        <w:spacing w:after="150" w:line="276"/>
      </w:pPr>
      <w:r>
        <w:rPr>
          <w:rFonts w:ascii="Times New Roman" w:cs="Times New Roman" w:eastAsia="Times New Roman" w:hAnsi="Times New Roman"/>
          <w:sz w:val="24"/>
          <w:szCs w:val="24"/>
        </w:rPr>
        <w:t xml:space="preserve">The study protocol and analysis plan are pre-registered. Constructed records, the verified answer key and its verification packet, and aggregate results are available to reviewers under the study's data-availability terms. The answer key is held off the public site to protect the blind study. Live participation is tracked on an aggregate dashboard that shows counts only, never individual answers.</w:t>
      </w:r>
    </w:p>
    <w:p>
      <w:pPr>
        <w:spacing w:after="130" w:before="180"/>
      </w:pPr>
      <w:r>
        <w:rPr>
          <w:rFonts w:ascii="Times New Roman" w:cs="Times New Roman" w:eastAsia="Times New Roman" w:hAnsi="Times New Roman"/>
          <w:b/>
          <w:bCs/>
          <w:i w:val="false"/>
          <w:iCs w:val="false"/>
          <w:sz w:val="26"/>
          <w:szCs w:val="26"/>
        </w:rPr>
        <w:t xml:space="preserve">Progress log (per standing directive, all progress on this article is recorded here)</w:t>
      </w:r>
    </w:p>
    <w:p>
      <w:pPr>
        <w:pStyle w:val="ListParagraph"/>
        <w:numPr>
          <w:ilvl w:val="0"/>
          <w:numId w:val="1"/>
        </w:numPr>
        <w:spacing w:after="80"/>
      </w:pPr>
      <w:r>
        <w:rPr>
          <w:rFonts w:ascii="Times New Roman" w:cs="Times New Roman" w:eastAsia="Times New Roman" w:hAnsi="Times New Roman"/>
          <w:sz w:val="24"/>
          <w:szCs w:val="24"/>
        </w:rPr>
        <w:t xml:space="preserve">2026-07-25 - Introduction opening reframed into Gabi's FIRST-PERSON voice (proposed draft, flagged for her review/ownership; "As a new intake officer at a civil rights commission, I wanted to be sure..."), replacing Phillip's "my mentee Gabi" framing. Grounds only verified facts (new intake officer / complaint drafting; Spanish/bilingual intake; "stand on business"; diversity-&gt;resilience-&gt;international panel). OPEN: she must confirm/rewrite the recollections in her own words, and the manuscript must adopt one first-person convention (Gabi's vignette vs Phillip's later "I") once co-authorship is finalized. On incorporating concepts from the Evidentiary-Deficit legal article: person-side accountability concept already sits in Section 2.1; keep the legal machinery (discovery, case law, GDPR/AI Act specifics) OUT of this empirical paper and let the legal article own the "Right to Know Why" naming; cross-reference the companion piece rather than duplicate (avoid self-plagiarism).</w:t>
      </w:r>
    </w:p>
    <w:p>
      <w:pPr>
        <w:pStyle w:val="ListParagraph"/>
        <w:numPr>
          <w:ilvl w:val="0"/>
          <w:numId w:val="1"/>
        </w:numPr>
        <w:spacing w:after="80"/>
      </w:pPr>
      <w:r>
        <w:rPr>
          <w:rFonts w:ascii="Times New Roman" w:cs="Times New Roman" w:eastAsia="Times New Roman" w:hAnsi="Times New Roman"/>
          <w:sz w:val="24"/>
          <w:szCs w:val="24"/>
        </w:rPr>
        <w:t xml:space="preserve">2026-07-25 - Gabriela Cortez (V-AI-08, "Gabi") opened as EARNED co-author (per Phillip). Byline adds her (Phillip lead, then alphabetical Cortez/Hossain); author-contributions statement credits her with the normative framing (record understandable to the affected person; diverse/multilingual panel rationale) and DISCLOSES her dual role (data-contributing reviewer AND author on the conceptual/writing contribution, not on her own reads); new Section 2.1 "The record and the person it describes" is her lane to develop (shared framing paragraph provided, Bar/Section-V pattern); Acknowledgments updated so she is not double-counted. INTEGRITY CONDITION (earned, not courtesy): authorship becomes final on her written contribution to Section 2.1/Introduction and her review + approval of the manuscript; confirm her preferred name/affiliation line and align the Introduction's "my mentee, Gabi" narrative voice with her once she accepts. Invitation: `research/Cortez_CoAuthor_Invite.md`.</w:t>
      </w:r>
    </w:p>
    <w:p>
      <w:pPr>
        <w:pStyle w:val="ListParagraph"/>
        <w:numPr>
          <w:ilvl w:val="0"/>
          <w:numId w:val="1"/>
        </w:numPr>
        <w:spacing w:after="80"/>
      </w:pPr>
      <w:r>
        <w:rPr>
          <w:rFonts w:ascii="Times New Roman" w:cs="Times New Roman" w:eastAsia="Times New Roman" w:hAnsi="Times New Roman"/>
          <w:sz w:val="24"/>
          <w:szCs w:val="24"/>
        </w:rPr>
        <w:t xml:space="preserve">2026-07-25 - Ubayet Hossain elevated from "methodology advisor" to CO-AUTHOR (per Phillip), consistent with the standing policy that he is co-author on each paper that uses his methodology; his framework (reference-panel design, chance-corrected statistics, pre-registered floors) is the validation core of this paper. Byline + author-contributions statement updated; acknowledgment of him as a thanked contributor removed. INTEGRITY CONDITION (earned authorship): send him THIS manuscript for review and sign-off before submission; his approval of this specific paper is what makes the co-authorship earned rather than courtesy.</w:t>
      </w:r>
    </w:p>
    <w:p>
      <w:pPr>
        <w:pStyle w:val="ListParagraph"/>
        <w:numPr>
          <w:ilvl w:val="0"/>
          <w:numId w:val="1"/>
        </w:numPr>
        <w:spacing w:after="80"/>
      </w:pPr>
      <w:r>
        <w:rPr>
          <w:rFonts w:ascii="Times New Roman" w:cs="Times New Roman" w:eastAsia="Times New Roman" w:hAnsi="Times New Roman"/>
          <w:sz w:val="24"/>
          <w:szCs w:val="24"/>
        </w:rPr>
        <w:t xml:space="preserve">2026-07-25 - Integrated the two outreach-campaign framings as academic significance (NOT marketing): added a dual-stakes paragraph to the Introduction (accountability to the person / defensibility for the institution, one and the same defect) and extended the Discussion to state the two-directional implication. This aligns the paper's significance with the two sister campaigns (The Right to Know Why; The Decisions You Can Defend) in substance. Results remain gated; Arm B blind protected; no effectiveness claim; fixed banned "frequently" -&gt; "often"; no long dashes.</w:t>
      </w:r>
    </w:p>
    <w:p>
      <w:pPr>
        <w:pStyle w:val="ListParagraph"/>
        <w:numPr>
          <w:ilvl w:val="0"/>
          <w:numId w:val="1"/>
        </w:numPr>
        <w:spacing w:after="80"/>
      </w:pPr>
      <w:r>
        <w:rPr>
          <w:rFonts w:ascii="Times New Roman" w:cs="Times New Roman" w:eastAsia="Times New Roman" w:hAnsi="Times New Roman"/>
          <w:sz w:val="24"/>
          <w:szCs w:val="24"/>
        </w:rPr>
        <w:t xml:space="preserve">2026-07-28 - </w:t>
      </w:r>
      <w:r>
        <w:rPr>
          <w:rFonts w:ascii="Times New Roman" w:cs="Times New Roman" w:eastAsia="Times New Roman" w:hAnsi="Times New Roman"/>
          <w:b/>
          <w:bCs/>
          <w:sz w:val="24"/>
          <w:szCs w:val="24"/>
        </w:rPr>
        <w:t xml:space="preserve">PANEL NUMBERS RE-VERIFIED against the live DB</w:t>
      </w:r>
      <w:r>
        <w:rPr>
          <w:rFonts w:ascii="Times New Roman" w:cs="Times New Roman" w:eastAsia="Times New Roman" w:hAnsi="Times New Roman"/>
          <w:sz w:val="24"/>
          <w:szCs w:val="24"/>
        </w:rPr>
        <w:t xml:space="preserve"> (`check_completion.py` -&gt; `pilot_progress`/`armb_progress`, 2026-07-28). Corrected the stale "24 registered, 7 complete" carried from the 2026-07-13 draft. Current, DB-verified: detection panel (Arm A) 12 complete of ~26 registered (Niloofar 22/24 in progress), completers spanning 10 countries on 5 continents; Arm B 7 complete (3 JRS condition, 4 baseline), 1 in progress. Updated Sections 4.3 and 5.2. Primary results remain gated. Separately flagged: RR-107 completed but was never logged/recognized.</w:t>
      </w:r>
    </w:p>
    <w:p>
      <w:pPr>
        <w:pStyle w:val="ListParagraph"/>
        <w:numPr>
          <w:ilvl w:val="0"/>
          <w:numId w:val="1"/>
        </w:numPr>
        <w:spacing w:after="80"/>
      </w:pPr>
      <w:r>
        <w:rPr>
          <w:rFonts w:ascii="Times New Roman" w:cs="Times New Roman" w:eastAsia="Times New Roman" w:hAnsi="Times New Roman"/>
          <w:sz w:val="24"/>
          <w:szCs w:val="24"/>
        </w:rPr>
        <w:t xml:space="preserve">2026-07-27 - </w:t>
      </w:r>
      <w:r>
        <w:rPr>
          <w:rFonts w:ascii="Times New Roman" w:cs="Times New Roman" w:eastAsia="Times New Roman" w:hAnsi="Times New Roman"/>
          <w:b/>
          <w:bCs/>
          <w:sz w:val="24"/>
          <w:szCs w:val="24"/>
        </w:rPr>
        <w:t xml:space="preserve">CONSOLIDATION: the standalone Rungs 1-2 reliability/reproducibility paper was merged into this international paper</w:t>
      </w:r>
      <w:r>
        <w:rPr>
          <w:rFonts w:ascii="Times New Roman" w:cs="Times New Roman" w:eastAsia="Times New Roman" w:hAnsi="Times New Roman"/>
          <w:sz w:val="24"/>
          <w:szCs w:val="24"/>
        </w:rPr>
        <w:t xml:space="preserve"> (Phillip's decision to publish one comprehensive artifact rather than a separate short paper). Folded in as complete SUPPORTING results: new Section 4.7 (methods for reproducibility + reliability, naming the three cross-vendor models Anthropic claude-opus-4-8 / OpenAI gpt-5 / Google Gemini) and new Section 5.1 (results: 84% cross-vendor pairwise agreement; expert AC1 0.74 [0.40-1.00], reviewer 0.63 [0.26-1.00]; Krippendorff/Fleiss with the kappa-paradox note; per-condition AC1; interim 10-of-~26 records, floor on the 0.41 boundary). Abstract split into complete Supporting results vs gated Primary results. Added a References section (8 canonical stats sources). All figures verified against the study database and reproduced by `research/compute_ac1_ci.py`. The two PRIMARY analyses (detection accuracy, Arm B) remain gated; Arm B blind protected (no arm assignments or per-record answers disclosed). The standalone package in `research/submission/` is retained as a fallback but is superseded by this combined paper.</w:t>
      </w:r>
    </w:p>
    <w:p>
      <w:pPr>
        <w:pStyle w:val="ListParagraph"/>
        <w:numPr>
          <w:ilvl w:val="0"/>
          <w:numId w:val="1"/>
        </w:numPr>
        <w:spacing w:after="80"/>
      </w:pPr>
      <w:r>
        <w:rPr>
          <w:rFonts w:ascii="Times New Roman" w:cs="Times New Roman" w:eastAsia="Times New Roman" w:hAnsi="Times New Roman"/>
          <w:sz w:val="24"/>
          <w:szCs w:val="24"/>
        </w:rPr>
        <w:t xml:space="preserve">2026-07-13 - Draft created from the pre-registered detection protocol (`DRR_Detection_Validation_Protocol.md`), the Arm B design spec (`ArmB_Design.md`), and the pre-registered analysis plan (`JRS_PreRegistered_Analysis_Plan.md`). Introduction incorporates the author's mentorship narrative (Gabi). Target journal: AI and Ethics. Results gated until the detection panel completes and Arm B is run. Author number for the panel stated as the verified current count (24 registered, 7 complete); the earlier "22" in the author's narrative was updated to keep the manuscript internally consistent with Methods.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2026-07-28T11:09:09.904Z</dcterms:created>
  <dcterms:modified xsi:type="dcterms:W3CDTF">2026-07-28T11:09:09.904Z</dcterms:modified>
</cp:coreProperties>
</file>

<file path=docProps/custom.xml><?xml version="1.0" encoding="utf-8"?>
<Properties xmlns="http://schemas.openxmlformats.org/officeDocument/2006/custom-properties" xmlns:vt="http://schemas.openxmlformats.org/officeDocument/2006/docPropsVTypes"/>
</file>