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answer key,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the first one a measurement programme has to answer: given an operational definition of DRR, can independent domain experts distinguish records that satisfy it from records that do not? If they cannot, no governance control resting on human review of documentation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an answer key fixed before recruitment and independently reproduced by raters blind to the study's hypotheses. Reviewers worked independently, blind to the key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key was 83.9 percent (95 percent CI 72.7 to 95.1 at participant level), with sensitivity 87.0 percent for unsupported records and specificity 80.7 percent for grounded ones. This clears the pre-registered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an answer key reproduced by raters blind to the hypotheses, blinded expert detection, and a pre-registered statistical criterion. The chain establishes that the operationalisation is recognisable to independent experts.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a fourth: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answer key encodes that operationalisation. A finding that experts recover the key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demonstrated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A key established by raters not party to the definition</w:t>
            </w:r>
          </w:p>
        </w:tc>
        <w:tc>
          <w:tcPr>
            <w:tcW w:w="3120" w:type="dxa"/>
          </w:tcPr>
          <w:p>
            <w:pPr>
              <w:spacing w:after="0"/>
            </w:pPr>
            <w:r>
              <w:t xml:space="preserve">Section 4.4, partially satisfied, see 4.4</w:t>
            </w:r>
          </w:p>
        </w:tc>
      </w:tr>
      <w:tr>
        <w:tc>
          <w:tcPr>
            <w:tcW w:w="3120" w:type="dxa"/>
          </w:tcPr>
          <w:p>
            <w:pPr>
              <w:spacing w:after="0"/>
            </w:pPr>
            <w:r>
              <w:t xml:space="preserve">Blinded detection</w:t>
            </w:r>
          </w:p>
        </w:tc>
        <w:tc>
          <w:tcPr>
            <w:tcW w:w="3120" w:type="dxa"/>
          </w:tcPr>
          <w:p>
            <w:pPr>
              <w:spacing w:after="0"/>
            </w:pPr>
            <w:r>
              <w:t xml:space="preserve">Independent judges, blind to the key</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verified answer key, blind to the key and to one another's judgments. There is no control arm by design: the panel is measured against a key, not against another group. A separate randomised comparison study, which does have arms, tests a different question, closed on 15 August 2026, and is reported separately.</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The generation prompts, the model and version used for each record, the generation dates, and the extent of human editing per record are recorded in the corpus construction log, which is part of the materials released under the data-availability terms in Section 11.</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is an upper bound on what the same reviewers would achieve on a corpus containing ambiguous records, and it is not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answer key, and how it was established</w:t>
      </w:r>
    </w:p>
    <w:p>
      <w:pPr>
        <w:spacing w:after="140"/>
      </w:pPr>
      <w:r>
        <w:t xml:space="preserve">The key is the foundation of every number in this paper, and it is treated here as a methodological object rather than as a formality.</w:t>
      </w:r>
    </w:p>
    <w:p>
      <w:pPr>
        <w:spacing w:after="140"/>
      </w:pPr>
      <w:r>
        <w:rPr>
          <w:b/>
        </w:rPr>
        <w:t xml:space="preserve">Author-side classification.</w:t>
      </w:r>
      <w:r>
        <w:t xml:space="preserve"> Before any reviewer was recruited,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w:t>
      </w:r>
      <w:r>
        <w:t xml:space="preserve"> The intended classification was then withheld and the corpus was given to blind raters who did not see the study's hypotheses, did not see the author-side classification, and were not told that a key existed to be recovered. They were asked to classify each record as grounded or unsupported. They reproduced the author-side classification on 24 of 24 records. There were no disagreements, so no adjudication procedure was invoked and no classification changed.</w:t>
      </w:r>
    </w:p>
    <w:p>
      <w:pPr>
        <w:spacing w:after="140"/>
      </w:pPr>
      <w:r>
        <w:rPr>
          <w:b/>
        </w:rPr>
        <w:t xml:space="preserve">What this establishes, and what it does not.</w:t>
      </w:r>
      <w:r>
        <w:t xml:space="preserve"> Unanimous reproduction by raters blind to the hypotheses rules out the objection that the key was fitted to the reviewers' responses after the fact, which is the circularity that would be fatal. It does not rule out a weaker but real objection: the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blind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blind raters, and the record-by-record reproduction result. Nothing about the key is withheld from a reader who wants to test it.</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answer key,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reviewers as a random factor and correctly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and the record component to be small and not distinguishable from zero at this sample size.</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held-out key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does. It was set before data collection on the following reasoning, which is stated so a reader can disagree with it: a governance control that is to be operated by trained reviewers must be recognisably better than a coin flip by a margin that survives the reviewer-to-reviewer variation seen in ordinary quality-assurance work, and 0.70 is the conventional floor for a screening instrument's agreement with a reference standard in several adjacent applied literatures. </w:t>
      </w:r>
      <w:r>
        <w:rPr>
          <w:b/>
        </w:rPr>
        <w:t xml:space="preserve">It is a convention, not a derivation.</w:t>
      </w:r>
      <w:r>
        <w:t xml:space="preserve"> It was not chosen with reference to any decision-theoretic cost model, because no such model for this application exists yet, and building one is part of Study 5 in Section 10. A reader who considers 0.70 too low or too high should read the reported interval, 72.7 to 95.1, and apply their own criterion; the interval is given precisely so that the threshold is not load-bearing.</w:t>
      </w:r>
    </w:p>
    <w:p>
      <w:pPr>
        <w:spacing w:after="140"/>
      </w:pPr>
      <w:r>
        <w:rPr>
          <w:b/>
        </w:rPr>
        <w:t xml:space="preserve">Reliability floor (supporting).</w:t>
      </w:r>
      <w:r>
        <w:t xml:space="preserve"> Gwet's AC1 among the expert panel of at least 0.61, </w:t>
      </w:r>
      <w:r>
        <w:rPr>
          <w:b/>
        </w:rPr>
        <w:t xml:space="preserve">with the lower bound of its confidence interval at least 0.41.</w:t>
      </w:r>
      <w:r>
        <w:t xml:space="preserve"> Both parts are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no deception was used beyond withholding the answer key and the corpus balance, which participants were told in advance would be withheld.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experts; the remainder are trained reviewers.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trained-reviewer coefficient is 0.623, and pooling the baseline labels in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professional judgment is a different question, tested in a separate study with its own participants, recruitment, participant codes, and registration.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a verified key, identified records whose reasoning cannot be reconstructed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reviewer accuracy fell below the 50 percent chance rate.</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a distribution in which some reviewers are near-perfect and at least one performs below chance, and at the point of use that spread is invisible: an organisation routing a record to a single reviewer does not know which part of the distribution it has drawn from.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an unpaired approximation returns p = 0.48.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On a shared set of 10 records carrying 113 submitted determinations under the five-condition instrument,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Trained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0.253 to 0.994</w:t>
            </w:r>
          </w:p>
        </w:tc>
        <w:tc>
          <w:tcPr>
            <w:tcW w:w="1337" w:type="dxa"/>
          </w:tcPr>
          <w:p>
            <w:pPr>
              <w:spacing w:after="0"/>
            </w:pPr>
            <w:r>
              <w:t xml:space="preserve">0.301 to 0.886</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trained-reviewer lower bound is 0.253.</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expert panel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Decision Reconstruction Risk, as operationalised,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is open; that the layer needs operationalising seems to us harder to dispute.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key rules out fitting the key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is an upper bound on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reviewer intraclass correlation of 0.488. Item difficulty is small relative to reviewer variation on this corpus and cannot be distinguished from zero, and the sample cannot rule out a moderate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answer key,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key,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answer key by raters who did not see the hypotheses; reviewers blind to the key,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one link in a chain: an international panel of sixteen independent experts, reading constructed AI-generated records cold and blind to an independently reproduced answer key, identified unreconstructable records at 83.9 percent accuracy, clearing a threshold set before the data were seen. It also establishes that those same experts vary widely among themselves, and that a pre-registered reliability criterion was not met on the sample available.</w:t>
      </w:r>
    </w:p>
    <w:p>
      <w:pPr>
        <w:spacing w:after="140"/>
      </w:pPr>
      <w:r>
        <w:t xml:space="preserve">What the paper does not establish is longer than what it does, and Section 10 lists it. A property can be real, visible, and worth building controls around long before anyone has shown that a particular instrument beats expert intuition at spotting it, that it survives contact with ambiguous cases, or that using it improves anything. Establishing that the property can be seen at all is what makes the rest of those questions askable,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the 24 constructed records; the corpus construction log, including generation model, version, date, prompt, and extent of human editing per record; the full answer key with the reason and evidentiary defect or support for each classification and the JRS conditions implicated; the instructions given to the blind key raters and their record-by-record reproduction result; the de-identified participant-level response data; and the analysis scripts that produce every figure in this paper.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Across the 113 labels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Every condition moves with the determination rather than sitting alongside it, which is the minimum a multi-condition instrument must show before its composite read means anything, and which the circularity above largely predicts. And the conditions are not uniformly met: evidentiary sufficiency is the most often unmet across all 113 labels, at 77.9 percent not passing, followed by chronological integrity, decision-process traceability, reconstructability, and basis identification at 65.5, 64.6, 57.5, and 51.3 percent respectively.</w:t>
      </w:r>
    </w:p>
    <w:p>
      <w:pPr>
        <w:spacing w:after="140"/>
      </w:pPr>
      <w:r>
        <w:t xml:space="preserve">The instrument's three levels are all exercised. Across the 113 labels the lowest level is the most-used value of the three, recorded 216 times against 207 passes and 142 middle-level judgments, and it appears at least once in 77 of the 113 labels.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p>
    <w:p>
      <w:pPr>
        <w:spacing w:after="140"/>
      </w:pPr>
      <w:r>
        <w:t xml:space="preserve">correct ~ 1 + (1 | reviewer) + (1 | record)</w:t>
      </w:r>
    </w:p>
    <w:p>
      <w:pPr>
        <w:spacing w:after="140"/>
      </w:pP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Nothing about the headline figure depends on the particular draw of 24 records in a way this analysis can detect.</w:t>
      </w:r>
    </w:p>
    <w:p>
      <w:pPr>
        <w:spacing w:after="140"/>
      </w:pPr>
      <w:r>
        <w:rPr>
          <w:b/>
        </w:rPr>
        <w:t xml:space="preserve">How much of the variance sits between reviewers rather than between records?</w:t>
      </w:r>
      <w:r>
        <w:t xml:space="preserve"> Almost all of it. The reviewer intraclass correlation is </w:t>
      </w:r>
      <w:r>
        <w:rPr>
          <w:b/>
        </w:rPr>
        <w:t xml:space="preserve">0.488</w:t>
      </w:r>
      <w:r>
        <w:t xml:space="preserve">: close to half the variance in whether a read is correct is attributable to which reviewer read it, once the logistic residual is accounted for. The record intraclass correlation is </w:t>
      </w:r>
      <w:r>
        <w:rPr>
          <w:b/>
        </w:rPr>
        <w:t xml:space="preserve">0.0000</w:t>
      </w:r>
      <w:r>
        <w:t xml:space="preserve">.</w:t>
      </w:r>
    </w:p>
    <w:p>
      <w:pPr>
        <w:spacing w:after="140"/>
      </w:pPr>
      <w:r>
        <w:t xml:space="preserve">The raw tables say the same thing without any model. Reviewer accuracy runs from 37.5 to 100 percent, a range of 62.5 points. Record accuracy runs from 62.5 to 93.8 percent, a range of 31.3 points, and every record was classified correctly by at least ten of the sixteen reviewers. </w:t>
      </w:r>
      <w:r>
        <w:rPr>
          <w:b/>
        </w:rPr>
        <w:t xml:space="preserve">No record in this corpus was hard. Several reviewers were.</w:t>
      </w:r>
    </w:p>
    <w:p>
      <w:pPr>
        <w:pStyle w:val="Heading3"/>
        <w:spacing w:after="140"/>
      </w:pPr>
      <w:r>
        <w:t xml:space="preserve">The record component is a singular fit and must not be read as a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and a correct estimator lands on the boundary on roughly one dataset in six when the true value is genuinely non-zero; that rate was measured by simulation on data of this exact shape before the real fit was run.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item difficulty is small relative to reviewer variation and cannot be distinguished from zero, and the sample cannot rule out a moderate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size of the effect is small, and the dominant source of uncertainty in this study is the reviewers, not the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answer key,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computed by </w:t>
      </w:r>
      <w:r>
        <w:rPr>
          <w:rFonts w:ascii="Consolas" w:hAnsi="Consolas"/>
        </w:rPr>
        <w:t xml:space="preserve">api/variance-6b1d90fa2c47e8b3</w:t>
      </w:r>
      <w:r>
        <w:t xml:space="preserve">, which reads the per-read table server-side and returns aggregates only.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Fifty-eight independent experts have graded records for this programme.</w:t>
      </w:r>
      <w:r>
        <w:t xml:space="preserve"> Every one of them worked unpaid, in a personal capacity, with nothing at stake in the outcome. They are acknowledged here together, because the programme is one body of work and the people who carried it do not become less relevant to a reader depending on which study a given paper reports.</w:t>
      </w:r>
    </w:p>
    <w:p>
      <w:pPr>
        <w:spacing w:after="140"/>
      </w:pPr>
      <w:r>
        <w:rPr>
          <w:b/>
        </w:rPr>
        <w:t xml:space="preserve">The detection panel, 16 independent experts across 11 countries and 5 continents.</w:t>
      </w:r>
      <w:r>
        <w:t xml:space="preserve"> Each read the full 24-record corpus cold, blind to a verified key, and returned 384 graded judgments. This paper's result is theirs.</w:t>
      </w:r>
    </w:p>
    <w:p>
      <w:pPr>
        <w:spacing w:after="140"/>
      </w:pPr>
      <w:r>
        <w:rPr>
          <w:b/>
        </w:rPr>
        <w:t xml:space="preserve">The comparison study, 20 independent experts.</w:t>
      </w:r>
      <w:r>
        <w:t xml:space="preserve"> Each completed the same full 24-record corpus under the design described in Section 5, without knowing what the comparison was testing, which is what made the comparison possible at all. Their work closed on 15 August 2026 and will be reported in full in its own paper, whatever it shows.</w:t>
      </w:r>
    </w:p>
    <w:p>
      <w:pPr>
        <w:spacing w:after="140"/>
      </w:pPr>
      <w:r>
        <w:rPr>
          <w:b/>
        </w:rPr>
        <w:t xml:space="preserve">The reliability study, 25 raters.</w:t>
      </w:r>
      <w:r>
        <w:t xml:space="preserve"> Eight worked as expert raters and seventeen as trained reviewers on the shared record set, producing the coefficients in Section 6.5 and the per-condition analysis in Appendix B. Appendix B exists only because they recorded a judgment on each of the five conditions separately rather than only the overall read.</w:t>
      </w:r>
    </w:p>
    <w:p>
      <w:pPr>
        <w:spacing w:after="140"/>
      </w:pPr>
      <w:r>
        <w:t xml:space="preserve">Across the two review studies, 36 independent experts have each completed a full 24-record set, in 16 countries across 5 continents. Every completer code resolved to a country; none was estimated.</w:t>
      </w:r>
    </w:p>
    <w:p>
      <w:pPr>
        <w:spacing w:after="140"/>
      </w:pPr>
      <w:r>
        <w:t xml:space="preserve">Those wider figures are acknowledgment, not results. The detection finding in Section 6 rests on the sixteen panel members and their 384 graded reads, and on nothing else.</w:t>
      </w:r>
    </w:p>
    <w:p>
      <w:pPr>
        <w:spacing w:after="140"/>
      </w:pPr>
      <w:r>
        <w:t xml:space="preserve">Reviewers in all three studies are recognised as named contributors with their consent, on the same terms and with the same standing; none is a co-author of this paper. Recognition is not scoped to the study a given paper reports. Contributors may withdraw their name at any time; one has, and her judgments remain in the analysis unnamed at her election.</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