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Can Public-Records Determinations Be Independently Reconstructed? Evidence from 32 Public Cases</w:t>
      </w:r>
    </w:p>
    <w:p w14:paraId="77BAF8B0" w14:textId="77777777" w:rsidR="0019445B" w:rsidRDefault="00000000">
      <w:pPr>
        <w:spacing w:after="140"/>
      </w:pPr>
      <w:r>
        <w:rPr>
          <w:b/>
        </w:rPr>
        <w:t>Stacyann Young</w:t>
      </w:r>
      <w:r>
        <w:t xml:space="preserve"> Independent Researcher</w:t>
      </w:r>
    </w:p>
    <w:p>
      <w:pPr>
        <w:spacing w:after="140"/>
      </w:pPr>
      <w:r>
        <w:t xml:space="preserve">Phillip Wikes, Independent Researcher; Developer of the Justification Review Standard; former Lead Civil Rights Officer, Maryland Commission on Civil Rights</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pPr>
        <w:spacing w:after="140"/>
      </w:pPr>
      <w:r>
        <w:t xml:space="preserve">Competing interests. P.W. developed the Justification Review Standard, the review protocol examined in this study, and has a continuing professional interest in it. The study design places the protocol against independent government audit findings and an independent blind second read. S.Y. declares no competing interests.</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t xml:space="preserve">Purpose. Consequential records are often reviewed after the fact by people who did not participate in the original decision. Their ability to assess the decision depends on whether the record preserves enough information to reconstruct its basis. This study examines whether a structured, record-level documentation quality read can identify differences in that reconstructability.</w:t>
      </w:r>
    </w:p>
    <w:p>
      <w:pPr>
        <w:spacing w:after="140"/>
      </w:pPr>
      <w:r>
        <w:t xml:space="preserve">Design/methodology/approach. A three-level read, Ready, Needs work or Gap, was applied to 32 publicly available public-records cases from 32 distinct sources across four document classes and two states, issued between 2005 and 2026. The read and a contemporaneous note explaining its basis were recorded from the source before the documented outcome was consulted. Ten cases were independently re-read.</w:t>
      </w:r>
    </w:p>
    <w:p>
      <w:pPr>
        <w:spacing w:after="140"/>
      </w:pPr>
      <w:r>
        <w:t xml:space="preserve">Findings. The read corresponded with independent government audit findings in all five cases where comparable audit assessments were available. It was associated with reconstructability as reflected in contemporaneous basis notes: six of seven noted Needs work cases recorded that the basis could not be rebuilt, compared with none of 17 noted Ready cases (p = 0.0000520). The read also distinguished document classes according to the extent to which the underlying basis was exposed (p = 0.00466). It was not associated with appellate outcome in the resolved subset (p = 1.000), consistent with reconstructability and appellate disposition representing different properties.</w:t>
      </w:r>
    </w:p>
    <w:p>
      <w:pPr>
        <w:spacing w:after="140"/>
      </w:pPr>
      <w:r>
        <w:t xml:space="preserve">Research limitations/implications. The corpus is small, non-random and limited to two jurisdictions. Reliability evidence is preliminary because only 10 cases received an independent blind re-read.</w:t>
      </w:r>
    </w:p>
    <w:p>
      <w:pPr>
        <w:spacing w:after="140"/>
      </w:pPr>
      <w:r>
        <w:t xml:space="preserve">Practical implications. The findings suggest that reconstructability can be examined at the record level before a consequential record is finalised. A structured review that records both the assessment and its basis may provide an additional mechanism for identifying documentation weaknesses before records are subject to later audit, review or challenge.</w:t>
      </w:r>
    </w:p>
    <w:p>
      <w:pPr>
        <w:spacing w:after="140"/>
      </w:pPr>
      <w:r>
        <w:t xml:space="preserve">Originality/value. The study provides an initial empirical examination of a structured record-level approach to assessing whether the basis for a consequential decision remains independently reconstructable from the record itself.</w:t>
      </w:r>
    </w:p>
    <w:p>
      <w:pPr>
        <w:spacing w:after="140"/>
      </w:pPr>
      <w:r>
        <w:t xml:space="preserve">Keywords: Records management; information governance; documentation quality; public records; recordkeeping evidence; decision reconstructability</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blinded second-read data and reproducibility materials are retained with the study records and are available from the authors.</w:t>
      </w:r>
    </w:p>
    <w:p w14:paraId="3BE0A9D6" w14:textId="77777777" w:rsidR="0019445B" w:rsidRDefault="0019445B">
      <w:pPr>
        <w:pBdr>
          <w:bottom w:val="single" w:sz="6" w:space="1" w:color="AAAAAA"/>
        </w:pBdr>
      </w:pPr>
    </w:p>
    <w:p>
      <w:pPr>
        <w:pStyle w:val="Heading2"/>
        <w:spacing w:after="140"/>
      </w:pPr>
      <w:r>
        <w:t xml:space="preserve">1. The governance problem</w:t>
      </w:r>
    </w:p>
    <w:p>
      <w:pPr>
        <w:spacing w:after="140"/>
      </w:pPr>
      <w:r>
        <w:t xml:space="preserve">A public-records determination is not only a response to a request. It is also a record of administrative action. It may later be examined by an appeals officer, an open-government body, a court, an auditor, or a records professional reviewing whether the agency can account for what it did. By that point, the original decision-maker may no longer be available. The record must therefore carry enough information for a later reviewer to understand how the determination was reached.</w:t>
      </w:r>
    </w:p>
    <w:p>
      <w:pPr>
        <w:spacing w:after="140"/>
      </w:pPr>
      <w:r>
        <w:t xml:space="preserve">Records and information governance provides established approaches to retention, classification, access, disposal and preservation. A separate question arises at the level of the individual consequential record: whether the record preserves enough evidentiary and decision-process information for an independent reviewer to reconstruct how the conclusion was reached.</w:t>
      </w:r>
    </w:p>
    <w:p>
      <w:pPr>
        <w:spacing w:after="140"/>
      </w:pPr>
      <w:r>
        <w:t xml:space="preserve">Records and information governance already has a vocabulary for the qualities a record must hold. ISO 15489-1:2016 requires that a record be authentic, reliable, have integrity and be usable, and Duranti (1995) sets out reliability and authenticity as distinct properties, the first concerning the record's capacity to stand for the facts it asserts and the second its identity and freedom from alteration. Yeo (2007) characterises records as persistent representations of activities, which locates their value in what they allow a later party to understand rather than in their survival alone. Reconstructability sits alongside these rather than replacing them. A record can be authentic, reliable, unaltered and readily retrievable and still not show a later reviewer how the conclusion it documents was reached. That is a question about the sufficiency of a single consequential record as evidence of its own decision.</w:t>
      </w:r>
    </w:p>
    <w:p>
      <w:pPr>
        <w:spacing w:after="140"/>
      </w:pPr>
      <w:r>
        <w:t xml:space="preserve">Work on measuring these qualities exists. Duranti and Makhlouf Shabou (2015) develop a model and instruments for defining and measuring quality dimensions of public electronic records, and Farrell (2024) examines public sector recordkeeping against accountability understood both as a mechanism and as a virtue, finding gaps in the mechanisms through which public bodies can be required to explain their recordkeeping conduct. The present study is narrower than either. It asks whether one property, the reconstructability of the basis for an individual determination, can be assessed consistently from the record alone, and it tests that on public material where an independent assessment of the same programmes already exists.</w:t>
      </w:r>
    </w:p>
    <w:p>
      <w:pPr>
        <w:spacing w:after="140"/>
      </w:pPr>
      <w:r>
        <w:t xml:space="preserve">Completeness alone does not answer that question. A record may contain the required fields, follow an approved format and read as complete while still leaving the later reviewer unable to determine what evidence supported a conclusion, how the relevant information was interpreted, or why one outcome was reached rather than another.</w:t>
      </w:r>
    </w:p>
    <w:p>
      <w:pPr>
        <w:spacing w:after="140"/>
      </w:pPr>
      <w:r>
        <w:t xml:space="preserve">Public-records material provides a useful test corpus because decisions and audits are publicly available, some of the same programmes have been assessed independently, and documented outcomes permit examination of whether reconstructability is distinct from substantive outcome.</w:t>
      </w:r>
    </w:p>
    <w:p>
      <w:pPr>
        <w:spacing w:after="140"/>
      </w:pPr>
      <w:r>
        <w:t xml:space="preserve">The broader question is not limited to freedom of information. It concerns the evidentiary quality of consequential records that must remain understandable and reviewable after the original decision-maker is no longer available.</w:t>
      </w:r>
    </w:p>
    <w:p w14:paraId="34E03921" w14:textId="77777777" w:rsidR="0019445B" w:rsidRDefault="00000000">
      <w:pPr>
        <w:pStyle w:val="Heading2"/>
        <w:spacing w:after="140"/>
      </w:pPr>
      <w:r>
        <w:t>2. Introduction</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 and information governance controls do not necessarily assess this property at the level of an individual consequential record. Two agencies can run the same case-management system and produce determinations of very different defensibility. This pilot examines whether a structured record-level read can do so.</w:t>
      </w:r>
    </w:p>
    <w:p>
      <w:pPr>
        <w:spacing w:after="140"/>
      </w:pPr>
      <w:r>
        <w:t xml:space="preserve">From a records-management perspective, reconstructability concerns more than whether information has been retained. A file may contain substantial material and still fail to show how a particular administrative conclusion was reached. The relevant question is whether the relationship between the decision, the information supporting it, and the stated reasoning remains sufficiently visible for later review. Reconstructability therefore complements established concerns with retention, accessibility, authenticity, and accountability at the level of consequential individual records.</w:t>
      </w:r>
    </w:p>
    <w:p w14:paraId="21722D3B" w14:textId="77777777" w:rsidR="0019445B" w:rsidRDefault="00000000">
      <w:pPr>
        <w:pStyle w:val="Heading2"/>
        <w:spacing w:after="140"/>
      </w:pPr>
      <w:r>
        <w:t>3.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pPr>
        <w:pStyle w:val="Heading2"/>
        <w:spacing w:after="140"/>
      </w:pPr>
      <w:r>
        <w:t xml:space="preserve">4. Record-level review protocol</w:t>
      </w:r>
    </w:p>
    <w:p>
      <w:pPr>
        <w:spacing w:after="140"/>
      </w:pPr>
      <w:r>
        <w:t xml:space="preserve">This study applies a structured record-level review protocol designed to examine whether the basis of a consequential determination can later be reconstructed from the record itself. The protocol is referred to in this study as the Justification Review Standard (JRS). Five conditions carry that question. Reconstructability, whether the conclusion can be rebuilt from the record alone. Basis identification, whether the source of each characterisation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5. Methods</w:t>
      </w:r>
    </w:p>
    <w:p w14:paraId="538E82C2" w14:textId="77777777" w:rsidR="0019445B" w:rsidRDefault="00000000">
      <w:pPr>
        <w:pStyle w:val="Heading3"/>
        <w:spacing w:after="140"/>
      </w:pPr>
      <w:r>
        <w:t>5.1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6.3 possible.</w:t>
      </w:r>
    </w:p>
    <w:p w14:paraId="022B383D" w14:textId="77777777" w:rsidR="0019445B" w:rsidRDefault="00000000">
      <w:pPr>
        <w:pStyle w:val="Heading3"/>
        <w:spacing w:after="140"/>
      </w:pPr>
      <w:r>
        <w:t>5.2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5.3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5.4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5.5 Analyses</w:t>
      </w:r>
    </w:p>
    <w:p w14:paraId="15B47805" w14:textId="77777777" w:rsidR="0019445B" w:rsidRDefault="00000000">
      <w:pPr>
        <w:spacing w:after="140"/>
      </w:pPr>
      <w:r>
        <w:t>Five analyses, in the order reported.</w:t>
      </w:r>
    </w:p>
    <w:p>
      <w:pPr>
        <w:spacing w:after="140"/>
      </w:pPr>
      <w:r>
        <w:t xml:space="preserve">Preliminary convergent evidence is assessed by comparing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Internal classification coherence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Because the same reviewer assigned the classification and wrote the note, this analysis measures whether the classification and its stated reason agree, not whether the classification agrees with an independent assessment. Association between the two is tested with Fisher's exact test.</w:t>
      </w:r>
    </w:p>
    <w:p>
      <w:pPr>
        <w:spacing w:after="140"/>
      </w:pPr>
      <w:r>
        <w:t xml:space="preserve">Structural differentiation is examined by testing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pPr>
        <w:spacing w:after="140"/>
      </w:pPr>
      <w: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Section 9 treats that as a limitation.</w:t>
      </w:r>
    </w:p>
    <w:p w14:paraId="50B48E87" w14:textId="77777777" w:rsidR="0019445B" w:rsidRDefault="00000000">
      <w:pPr>
        <w:pStyle w:val="Heading3"/>
        <w:spacing w:after="140"/>
      </w:pPr>
      <w:r>
        <w:t>5.6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w:t>
      </w:r>
    </w:p>
    <w:p w14:paraId="7F4D06B0" w14:textId="77777777" w:rsidR="0019445B" w:rsidRDefault="00000000">
      <w:pPr>
        <w:pStyle w:val="Heading2"/>
        <w:spacing w:after="140"/>
      </w:pPr>
      <w:r>
        <w:t>6. Results</w:t>
      </w:r>
    </w:p>
    <w:p w14:paraId="490699FA" w14:textId="77777777" w:rsidR="0019445B" w:rsidRDefault="00000000">
      <w:pPr>
        <w:pStyle w:val="Heading3"/>
        <w:spacing w:after="140"/>
      </w:pPr>
      <w:r>
        <w:t>6.1 The instrument applied to real material</w:t>
      </w:r>
    </w:p>
    <w:p>
      <w:pPr>
        <w:spacing w:after="140"/>
      </w:pPr>
      <w:r>
        <w:t xml:space="preserve">Reads across the 32 cases: 18 Ready, 9 Needs work, 5 Gap. Documented outcomes: 15 determinations did not survive review, 7 contested without a recorded disposition, 5 sustained, 5 adverse audit findings. Figure 1 summarises the corpus and the three-level read.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provides an initial applied case set for examining record-level reconstructability across publicly available public-records materials.</w:t>
      </w:r>
    </w:p>
    <w:p w14:paraId="34DA5FC4" w14:textId="77777777" w:rsidR="0019445B" w:rsidRDefault="00000000">
      <w:pPr>
        <w:pStyle w:val="Heading3"/>
        <w:spacing w:after="140"/>
      </w:pPr>
      <w:r>
        <w:t>6.2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pPr>
        <w:spacing w:after="140"/>
      </w:pPr>
      <w:r>
        <w:t xml:space="preserve">In the five compliance audits included in the corpus, the record-level review classified each source as Gap, consistent with the independent auditors' findings that the relevant programmes could not adequately evidence aspects of their public-records administration.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 The agreement with the available Comptroller findings provides preliminary evidence of convergence between the record-level read and independently identified evidentiary deficiencies.</w:t>
      </w:r>
    </w:p>
    <w:p>
      <w:pPr>
        <w:spacing w:after="140"/>
      </w:pPr>
      <w:r>
        <w:t xml:space="preserve">Because this comparison is limited to five structurally similar audit cases, it should be interpreted as preliminary evidence of convergence rather than as a stable estimate of instrument validity.</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6.3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analysed separately in Section 6.2.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pPr>
        <w:spacing w:after="140"/>
      </w:pPr>
      <w:r>
        <w:t xml:space="preserve">These findings provide preliminary evidence addressing the third research question. The pattern is consistent with the reads reflecting the presence or absence of a rebuildable basis, which is the property the instrument was designed to examine, rather than appellate outcome alone. The coding is post-hoc, and the same reviewer assigned the classification and wrote the note it codes, so this result is evidence that the classifications and their recorded reasons cohere rather than independent construct validation. The contemporaneous notes are what make that coherence checkable by anyone re-reading the case set. The structural comparison in Section 6.4 and the audit concordance in Section 6.2 do not depend on the reviewer's explanatory language and carry the externally meaningful evidence.</w:t>
      </w:r>
    </w:p>
    <w:p>
      <w:pPr>
        <w:pStyle w:val="Heading3"/>
        <w:spacing w:after="140"/>
      </w:pPr>
      <w:r>
        <w:t xml:space="preserve">6.4 Documentation reads differed across source classes according to the extent of basis exposure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itself. Court decisions summarise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pPr>
        <w:spacing w:after="140"/>
      </w:pPr>
      <w:r>
        <w:t xml:space="preserve">The classifications differed across the document classes represented in this corpus, with the observed pattern corresponding to differences in the extent to which the sources exposed the underlying basis for the determination.</w:t>
      </w:r>
    </w:p>
    <w:p>
      <w:pPr>
        <w:spacing w:after="140"/>
      </w:pPr>
      <w:r>
        <w:t xml:space="preserve">Because document class and classification are not independent in this corpus, this finding should be interpreted as descriptive evidence consistent with the proposed construct rather than as independent validation of the review protocol.</w:t>
      </w:r>
    </w:p>
    <w:p w14:paraId="73EFE314" w14:textId="77777777" w:rsidR="0019445B" w:rsidRDefault="00000000">
      <w:pPr>
        <w:pStyle w:val="Heading3"/>
        <w:spacing w:after="140"/>
      </w:pPr>
      <w:r>
        <w:t>6.5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6.3 and 6.4,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w:t>
      </w:r>
    </w:p>
    <w:p>
      <w:pPr>
        <w:pStyle w:val="Heading3"/>
        <w:spacing w:after="140"/>
      </w:pPr>
      <w:r>
        <w:t xml:space="preserve">6.6 Interpreting the null outcome association</w:t>
      </w:r>
    </w:p>
    <w:p>
      <w:pPr>
        <w:spacing w:after="140"/>
      </w:pPr>
      <w:r>
        <w:t xml:space="preserve">The absence of an association between the documentation read and appellate outcome should not be interpreted as evidence that reconstructability lacks practical significance. The published public-records corpus is structured around contested legal questions, and appellate disposition reflects legal and substantive factors that extend beyond the quality of the record.</w:t>
      </w:r>
    </w:p>
    <w:p>
      <w:pPr>
        <w:spacing w:after="140"/>
      </w:pPr>
      <w:r>
        <w:t xml:space="preserve">The present finding therefore establishes an important boundary for this corpus: reconstructability and appellate disposition should not be treated as interchangeable outcome measures. Future studies should examine agency determinations before they enter a publication or litigation pathway and should compare record-level reconstructability with independently established audit and review findings.</w:t>
      </w:r>
    </w:p>
    <w:p w14:paraId="79A0CF37" w14:textId="77777777" w:rsidR="0019445B" w:rsidRDefault="00000000">
      <w:pPr>
        <w:pStyle w:val="Heading3"/>
        <w:spacing w:after="140"/>
      </w:pPr>
      <w:r>
        <w:t>6.7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all 3 disagreements were between adjacent categories; none was a Ready against a Gap. Linear weighted kappa is 0.559 and Gwet's AC1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Within this 10-case blind re-read, the Gap category was reproduced exactly, although the sample is too small to treat this result as a stable estimate of category-specific reliability.</w:t>
      </w:r>
    </w:p>
    <w:p w14:paraId="7BF3DC8E" w14:textId="77777777" w:rsidR="0019445B" w:rsidRDefault="00000000">
      <w:pPr>
        <w:pStyle w:val="Heading2"/>
        <w:spacing w:after="140"/>
      </w:pPr>
      <w:r>
        <w:t>7. Discussion</w:t>
      </w:r>
    </w:p>
    <w:p>
      <w:pPr>
        <w:spacing w:after="140"/>
      </w:pPr>
      <w:r>
        <w:t xml:space="preserve">This pilot provides preliminary evidence that record reconstructability can be examined systematically across public-records materials. The framework produced the full range of classifications across four document classes, corresponded with independent audit findings in the five cases where an external audit provided a comparable assessment, and differentiated sources by a structural feature that does not depend on the reviewer's own explanatory language. The coding of contemporaneous basis notes adds that the classifications cohere with their recorded reasons; the audit concordance and the structural comparison are the evidence that does not rest on the reviewer's own account.</w:t>
      </w:r>
    </w:p>
    <w:p>
      <w:pPr>
        <w:spacing w:after="140"/>
      </w:pPr>
      <w:r>
        <w:t xml:space="preserve">The practical implication is a records-management one. A determination may be preserved, accessible, and formally complete while still failing to preserve the basis on which the agency acted. Reviewability therefore depends not only on whether the record survives, but also on whether the relationship between the decision, its supporting information, and its stated reasoning remains available to a later reviewer.</w:t>
      </w:r>
    </w:p>
    <w:p>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modernisation, sample their own determinations for reconstructability, catching the case where better tooling produces fluent but unreconstructable records.</w:t>
      </w:r>
    </w:p>
    <w:p>
      <w:pPr>
        <w:spacing w:after="140"/>
      </w:pPr>
      <w:r>
        <w:t xml:space="preserve">For public-records programmes, the practical form is simpler than the research form. Determinations that identify the applicable exemption, document the records located and produced, and connect stated reasoning to cited authority provide a clearer basis for later review by auditors, appeals bodies, and other independent reviewers. The five conditions could be adapted for use as a pre-issuance review checklist as well as a research instrument. This pilot did not test whether using such a checklist improves documentation quality, lowers reversal rates, or produces other substantive outcomes.</w:t>
      </w:r>
    </w:p>
    <w:p>
      <w:pPr>
        <w:pStyle w:val="Heading2"/>
        <w:spacing w:after="140"/>
      </w:pPr>
      <w:r>
        <w:t xml:space="preserve">8. Practical implications for records and information governance</w:t>
      </w:r>
    </w:p>
    <w:p>
      <w:pPr>
        <w:spacing w:after="140"/>
      </w:pPr>
      <w:r>
        <w:t xml:space="preserve">The findings support three potential uses of reconstructability review within records and information governance, while not establishing that the review improves substantive outcomes.</w:t>
      </w:r>
    </w:p>
    <w:p>
      <w:pPr>
        <w:spacing w:after="140"/>
      </w:pPr>
      <w:r>
        <w:t xml:space="preserve">Pre-finalisation quality assurance. A record can be reviewed for reconstructability while the underlying matter remains active. The relevant question is whether an informed reviewer who did not participate in the decision could understand the evidentiary basis and reasoning from the record available to them.</w:t>
      </w:r>
    </w:p>
    <w:p>
      <w:pPr>
        <w:spacing w:after="140"/>
      </w:pPr>
      <w:r>
        <w:t xml:space="preserve">For records programmes, the findings suggest a practical quality-control question that can be applied before a consequential determination is finalised: if the decision-maker were unavailable and a later reviewer had only the record, could that reviewer identify what was decided, what information supported it, and how the stated conclusion followed from that information?</w:t>
      </w:r>
    </w:p>
    <w:p>
      <w:pPr>
        <w:spacing w:after="140"/>
      </w:pPr>
      <w:r>
        <w:t xml:space="preserve">This does not require agencies to preserve every intermediate thought or drafting artifact. It requires attention to whether the record ultimately retained is sufficient to reconstruct the basis of the action it documents.</w:t>
      </w:r>
    </w:p>
    <w:p>
      <w:pPr>
        <w:spacing w:after="140"/>
      </w:pPr>
      <w:r>
        <w:t xml:space="preserve">Retrospective review. Records functions can use reconstructability review to examine consequential records already in the system, particularly where audit, appeal or regulatory exposure makes later explanation likely.</w:t>
      </w:r>
    </w:p>
    <w:p>
      <w:pPr>
        <w:spacing w:after="140"/>
      </w:pPr>
      <w:r>
        <w:t xml:space="preserve">Audit sampling. A structured record-level read may provide a method for identifying recurring documentation weaknesses across a programme. The value is not the rating alone. It is the recorded basis for the rating, which can identify the specific information missing from the record.</w:t>
      </w:r>
    </w:p>
    <w:p>
      <w:pPr>
        <w:spacing w:after="140"/>
      </w:pPr>
      <w:r>
        <w:t xml:space="preserve">At programme level, reconstructability review could also be incorporated into quality-assurance sampling. A records or information governance function could sample consequential determinations, assess whether their documented basis can be independently reconstructed, identify recurring gaps, and use those findings to examine whether templates, guidance, training, or review controls require adjustment. This pilot did not test those operational interventions, but the findings provide a basis for examining them in subsequent implementation research.</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14:paraId="231411F4" w14:textId="77777777" w:rsidR="0019445B" w:rsidRDefault="00000000">
      <w:pPr>
        <w:pStyle w:val="Heading2"/>
        <w:spacing w:after="140"/>
      </w:pPr>
      <w:r>
        <w:t>9. Limitations</w:t>
      </w:r>
    </w:p>
    <w:p>
      <w:pPr>
        <w:pStyle w:val="Heading2"/>
        <w:spacing w:after="140"/>
      </w:pPr>
      <w:r>
        <w:t xml:space="preserve">The study should therefore be read as an initial validation and feasibility exercise rather than as a population estimate of documentation quality in public-records programmes.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Additional independent reviews would be required before stable estimates of inter-rater reliability could be established.</w:t>
      </w:r>
    </w:p>
    <w:p>
      <w:pPr>
        <w:spacing w:after="140"/>
      </w:pPr>
      <w:r>
        <w:t xml:space="preserve">The note coding in Section 6.3 is post-hoc rather than pre-registered. The same reviewer assigned the classification and wrote the note that the coding then reads, so an association between them is not independent construct validation and is reported as evidence of internal coherence. The structural comparison and the audit concordance do not share that dependence.</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pPr>
        <w:spacing w:after="140"/>
      </w:pPr>
      <w:r>
        <w:t xml:space="preserve">The five-case comparison with independent audits provides preliminary evidence of agreement rather than a stable estimate of convergent validity. In this corpus, document class and read are also not independent, which limits the interpretation of the comparisons in Sections 6.2 and 6.4.</w:t>
      </w:r>
    </w:p>
    <w:p>
      <w:pPr>
        <w:spacing w:after="140"/>
      </w:pPr>
      <w:r>
        <w:t xml:space="preserve">The corpus is two states, New York and Connecticut. Generalisation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10. Conclusion</w:t>
      </w:r>
    </w:p>
    <w:p>
      <w:pPr>
        <w:spacing w:after="140"/>
      </w:pPr>
      <w:r>
        <w:t xml:space="preserve">Public-records determinations must often survive the people who created them. When a determination is later reviewed, the relevant question is not whether the original decision-maker could still explain what happened. It is whether the record can do so.</w:t>
      </w:r>
    </w:p>
    <w:p>
      <w:pPr>
        <w:spacing w:after="140"/>
      </w:pPr>
      <w:r>
        <w:t xml:space="preserve">This pilot examined that question across 32 publicly available public-records cases representing four document classes and two jurisdictions. The findings provide preliminary evidence that a structured record-level read can distinguish between sources that expose the basis of a determination and sources that leave that basis difficult or impossible to reconstruct.</w:t>
      </w:r>
    </w:p>
    <w:p>
      <w:pPr>
        <w:spacing w:after="140"/>
      </w:pPr>
      <w:r>
        <w:t xml:space="preserve">The broader implication is not limited to public-records administration. Records management has long concerned itself with whether organisations retain information that is accessible, reliable, and capable of supporting accountability.</w:t>
      </w:r>
    </w:p>
    <w:p>
      <w:pPr>
        <w:spacing w:after="140"/>
      </w:pPr>
      <w:r>
        <w:t xml:space="preserve">The contribution of this pilot is not to establish a fully validated measurement instrument or to demonstrate that the use of the review protocol improves administrative outcomes. It is narrower. The findings provide initial empirical evidence that reconstructability can be examined systematically at the level of an individual consequential record. For records and information governance, that raises a practical question alongside retention and preservation: when a decision must later be explained, does the record itself preserve enough of its evidentiary basis and reasoning for an independent reviewer to reconstruct how the organisation acted?</w:t>
      </w:r>
    </w:p>
    <w:p w14:paraId="762EB877" w14:textId="77777777" w:rsidR="0019445B" w:rsidRDefault="00000000">
      <w:pPr>
        <w:pStyle w:val="Heading2"/>
        <w:spacing w:after="140"/>
      </w:pPr>
      <w:r>
        <w:t>References</w:t>
      </w:r>
    </w:p>
    <w:p>
      <w:pPr>
        <w:spacing w:after="140"/>
      </w:pPr>
      <w:r>
        <w:t xml:space="preserve">Chief FOIA Officers Council. (2026, May 28). Memorandum: data collection and volunteers [Government-wide FOIA technology inventory initiative]. United States Department of Justice.</w:t>
      </w:r>
    </w:p>
    <w:p>
      <w:pPr>
        <w:spacing w:after="140"/>
      </w:pPr>
      <w:r>
        <w:t xml:space="preserve">Duranti, L. (1995). Reliability and authenticity: The concepts and their implications. Archivaria, 39, 5-10.</w:t>
      </w:r>
    </w:p>
    <w:p>
      <w:pPr>
        <w:spacing w:after="140"/>
      </w:pPr>
      <w:r>
        <w:t xml:space="preserve">Duranti, L., &amp; Makhlouf Shabou, B. (2015). Digital diplomatics and measurement of electronic public data qualities: What lessons should be learned? Records Management Journal, 25(1), 56-77. https://doi.org/10.1108/RMJ-01-2015-0006</w:t>
      </w:r>
    </w:p>
    <w:p>
      <w:pPr>
        <w:spacing w:after="140"/>
      </w:pPr>
      <w:r>
        <w:t xml:space="preserve">Farrell, M. (2024). Accountability as a mechanism and a virtue in Irish public sector recordkeeping. Records Management Journal, 34(2-3), 190-204. https://doi.org/10.1108/RMJ-09-2023-0051</w:t>
      </w:r>
    </w:p>
    <w:p>
      <w:pPr>
        <w:spacing w:after="140"/>
      </w:pPr>
      <w:r>
        <w:t xml:space="preserve">Gwet, K. L. (2008). Computing inter-rater reliability and its variance in the presence of high agreement. British Journal of Mathematical and Statistical Psychology, 61(1), 29-48.</w:t>
      </w:r>
    </w:p>
    <w:p>
      <w:pPr>
        <w:spacing w:after="140"/>
      </w:pPr>
      <w:r>
        <w:t xml:space="preserve">International Organization for Standardization. (2016). ISO 15489-1:2016. Information and documentation - Records management - Part 1: Concepts and principles.</w:t>
      </w:r>
    </w:p>
    <w:p>
      <w:pPr>
        <w:spacing w:after="140"/>
      </w:pPr>
      <w:r>
        <w:t xml:space="preserve">Yeo, G. (2007). Concepts of record (1): Evidence, information, and persistent representations. The American Archivist, 70(2), 315-343.</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including public citations, classifications, contemporaneous basis notes, outcome coding, and analysis procedures, are maintained in the study database. Verified counts as of 8 August 2026: 32 cases from 32 distinct public sources, collected 26 June to 8 August 2026; reads 18 Ready, 9 Needs work, 5 Gap; outcomes 15 did not survive review, 7 contested, 5 sustained, 5 adverse audit findings. Analysis code and the complete case set will be made available with publication, subject to journal requirements.</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14</Pages>
  <Words>5130</Words>
  <Characters>27501</Characters>
  <Application>Microsoft Office Word</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Jeff Billups</cp:lastModifiedBy>
  <cp:revision>3</cp:revision>
  <dcterms:created xsi:type="dcterms:W3CDTF">2026-09-01T03:41:00Z</dcterms:created>
  <dcterms:modified xsi:type="dcterms:W3CDTF">2026-09-01T03:54:00Z</dcterms:modified>
</cp:coreProperties>
</file>