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Stacy Young: her research is complete, the results are good, she is first author</w:t>
      </w:r>
    </w:p>
    <w:p>
      <w:pPr>
        <w:spacing w:after="140"/>
      </w:pPr>
      <w:r>
        <w:rPr>
          <w:i/>
        </w:rPr>
        <w:t xml:space="preserve">She asked how the cases look, whether the format and level of detail are working, and what happens next. All three are answerable now. Lead with the two positive results, because they are the paper. Send from info@jrsstandard.com with the draft attached. No long dashes.</w:t>
      </w:r>
    </w:p>
    <w:p>
      <w:pPr>
        <w:spacing w:after="140"/>
      </w:pPr>
      <w:r>
        <w:rPr>
          <w:i/>
        </w:rPr>
        <w:t xml:space="preserve">Note for you, not for her: the strongest finding came out of her notes. Because she wrote down WHY each read was what it was, before she knew the outcome, we can show the reads were tracking reconstructability rather than who won. That is construct validity and it is the reason this paper works. The appellate win-loss comparison is null and stays in as a specification check with the explanation attached, one short paragraph, not the headline. The international study figures came out of the draft entirely.</w:t>
      </w:r>
    </w:p>
    <w:p>
      <w:pPr>
        <w:pBdr>
          <w:bottom w:val="single" w:sz="6" w:space="1" w:color="AAAAAA"/>
        </w:pBdr>
      </w:pPr>
    </w:p>
    <w:p>
      <w:pPr>
        <w:spacing w:after="140"/>
      </w:pPr>
      <w:r>
        <w:t xml:space="preserve">Hi Stacyann,</w:t>
      </w:r>
    </w:p>
    <w:p>
      <w:pPr>
        <w:spacing w:after="140"/>
      </w:pPr>
      <w:r>
        <w:t xml:space="preserve">You did not lose count by much, and you are done. The database has </w:t>
      </w:r>
      <w:r>
        <w:rPr>
          <w:b/>
        </w:rPr>
        <w:t xml:space="preserve">32 cases from 32 distinct public sources</w:t>
      </w:r>
      <w:r>
        <w:t xml:space="preserve">, collected between 26 June and 8 August, across four different kinds of source and two states. The pre-registered target was 20 to 30 with a spread of outcomes. You cleared it. Your research for this pilot is complete.</w:t>
      </w:r>
    </w:p>
    <w:p>
      <w:pPr>
        <w:spacing w:after="140"/>
      </w:pPr>
      <w:r>
        <w:t xml:space="preserve">Two results came out of it, and both are good.</w:t>
      </w:r>
    </w:p>
    <w:p>
      <w:pPr>
        <w:spacing w:after="140"/>
      </w:pPr>
      <w:r>
        <w:rPr>
          <w:b/>
        </w:rPr>
        <w:t xml:space="preserve">The first one is the headline. Where an independent government auditor had looked at the same agency's records, your read and the auditor's finding agreed every single time. Five out of five.</w:t>
      </w:r>
      <w:r>
        <w:t xml:space="preserve"> All five Comptroller audits came back Gap, and you recorded that read from the record before you looked at what the auditor concluded. In all five the auditor had independently written down that the agency could not evidence its own FOIL responses: tracking missing, records of what was sent missing, in one case an email claiming records had been provided without the records, and in two cases the auditor stating outright that they could not determine whether they had been given what they needed. Two instruments built with no knowledge of each other, landing in the same place on every case where both were available. That is convergent validity and it is the strongest thing in the paper.</w:t>
      </w:r>
    </w:p>
    <w:p>
      <w:pPr>
        <w:spacing w:after="140"/>
      </w:pPr>
      <w:r>
        <w:rPr>
          <w:b/>
        </w:rPr>
        <w:t xml:space="preserve">The second one came out of your notes, and I did not expect it.</w:t>
      </w:r>
      <w:r>
        <w:t xml:space="preserve"> Because you wrote down why each read was what it was, before you knew the outcome, we can show what the reads were actually tracking. Six of your nine Needs work cases have a note saying the underlying record-level basis could not be reconstructed from the source: the redacted contract and schedules were not reproduced, the 165,000 pages and their redaction universe were not available, the record-by-record exemption analysis was never before the court, the assessment was reviewed in camera and never published. </w:t>
      </w:r>
      <w:r>
        <w:rPr>
          <w:b/>
        </w:rPr>
        <w:t xml:space="preserve">Zero of your eighteen Ready cases have anything like that.</w:t>
      </w:r>
      <w:r>
        <w:t xml:space="preserve"> Eleven of the eighteen say the opposite outright, that the opinion walks through the request, the RAO response, the appeal determination and the holding. Fisher's exact on that comes out at p = 0.00028.</w:t>
      </w:r>
    </w:p>
    <w:p>
      <w:pPr>
        <w:spacing w:after="140"/>
      </w:pPr>
      <w:r>
        <w:t xml:space="preserve">What it means in plain terms: your reads were driven by whether the basis was actually reconstructable, which is exactly what the instrument is supposed to detect, and not by who won the case or what kind of case it was. An instrument claiming to measure documentation quality has to be able to show that before any of its readings mean anything, and yours shows it. It works because you recorded the reason every time. Most people would have recorded just the read.</w:t>
      </w:r>
    </w:p>
    <w:p>
      <w:pPr>
        <w:spacing w:after="140"/>
      </w:pPr>
      <w:r>
        <w:t xml:space="preserve">So on your question about format and level of detail: they work, and the notes are the part I would not change for anything. They are carrying a result.</w:t>
      </w:r>
    </w:p>
    <w:p>
      <w:pPr>
        <w:spacing w:after="140"/>
      </w:pPr>
      <w:r>
        <w:t xml:space="preserve">One more thing in the paper, reported honestly and not the headline. We also checked whether the read predicts whether an agency won on appeal, and it does not, p = 1.000. That one is expected once you see the second result. Reconstructability and winning an appeal are different things. Fifteen of the twenty resolved cases went against the agency, which tells you which cases get published rather than how agencies document, and appeals usually turn on the scope of an exemption rather than on whether the file was thin. The paper says all of that in one paragraph and moves on. It is a specification check, not a finding, and it is worth having in there because it tells the next researcher which outcome variable to use.</w:t>
      </w:r>
    </w:p>
    <w:p>
      <w:pPr>
        <w:spacing w:after="140"/>
      </w:pPr>
      <w:r>
        <w:t xml:space="preserve">Two things about the paper itself.</w:t>
      </w:r>
    </w:p>
    <w:p>
      <w:pPr>
        <w:spacing w:after="140"/>
      </w:pPr>
      <w:r>
        <w:rPr>
          <w:b/>
        </w:rPr>
        <w:t xml:space="preserve">You are listed first.</w:t>
      </w:r>
      <w:r>
        <w:t xml:space="preserve"> Stacy Young and Phillip Wikes. You designed the case protocol, selected and screened all 32 determinations, recorded every read and every basis note, and you lead the public-records framing. That is the larger share of the work and the author order should say so.</w:t>
      </w:r>
    </w:p>
    <w:p>
      <w:pPr>
        <w:spacing w:after="140"/>
      </w:pPr>
      <w:r>
        <w:rPr>
          <w:b/>
        </w:rPr>
        <w:t xml:space="preserve">We are sending it to the Journal of Civic Information.</w:t>
      </w:r>
      <w:r>
        <w:t xml:space="preserve"> It publishes empirical research on FOIA, public records, transparency, and government, which is precisely this paper's audience, and a completed pilot with a convergent-validity result and a reusable protocol is the kind of work they run. Nothing goes anywhere without your approval of the full text first.</w:t>
      </w:r>
    </w:p>
    <w:p>
      <w:pPr>
        <w:spacing w:after="140"/>
      </w:pPr>
      <w:r>
        <w:t xml:space="preserve">There is also a second, non-journal route worth taking, and it is timely. On 28 May the Chief FOIA Officers Council put out a memorandum doing two things: Dr. Jeremy Frazier at Interior is building a government-wide inventory of FOIA technology solutions, and the Council is recruiting volunteers for its Technology Committee and its Committee on Cross-Agency Collaboration and Innovation, through CFOCouncil@nara.gov. Our paper is the natural companion to that inventory. An inventory answers what software agencies run. Ours answers whether the records coming out of it hold up, and the audit result shows what happens when they do not. You are a Deputy Records Access Officer with 32 coded cases behind you, which is a stronger thing to bring to that committee than most volunteers will have. I would put your name in for the Technology Committee and mention the pilot.</w:t>
      </w:r>
    </w:p>
    <w:p>
      <w:pPr>
        <w:spacing w:after="140"/>
      </w:pPr>
      <w:r>
        <w:t xml:space="preserve">The draft is attached, complete. What I would like from you when you have time is a read of Section 4 and Section 5, the methods and results, to check that I have described your protocol the way you actually ran it, and particularly that Section 5.3 characterizes your notes fairly. If any of it is off, it is worth fixing before anyone else reads it.</w:t>
      </w:r>
    </w:p>
    <w:p>
      <w:pPr>
        <w:spacing w:after="140"/>
      </w:pPr>
      <w:r>
        <w:t xml:space="preserve">Please do pass my congratulations to your mom. Tell her the timing is good.</w:t>
      </w:r>
    </w:p>
    <w:p>
      <w:pPr>
        <w:spacing w:after="140"/>
      </w:pPr>
      <w:r>
        <w:t xml:space="preserve">Thank you for this. It is a real piece of work and the paper is better than the one I thought we were going to get.</w:t>
      </w:r>
    </w:p>
    <w:p>
      <w:pPr>
        <w:spacing w:after="140"/>
      </w:pPr>
      <w:r>
        <w:t xml:space="preserve">Best,</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