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666666"/>
          <w:spacing w:val="40"/>
          <w:sz w:val="15"/>
          <w:szCs w:val="15"/>
        </w:rPr>
        <w:t xml:space="preserve">LEGAL / GOVERNANCE AUDIENCE    |    LITIGATION RISK    |    AI-ASSISTED DOCUMENTATION</w:t>
      </w:r>
    </w:p>
    <w:p>
      <w:pPr>
        <w:spacing w:after="60"/>
      </w:pPr>
      <w:r>
        <w:rPr>
          <w:rFonts w:ascii="Georgia" w:cs="Georgia" w:eastAsia="Georgia" w:hAnsi="Georgia"/>
          <w:b/>
          <w:bCs/>
          <w:color w:val="141414"/>
          <w:sz w:val="34"/>
          <w:szCs w:val="34"/>
        </w:rPr>
        <w:t xml:space="preserve">The Evidentiary Deficit in AI-Assisted Record-Keeping</w:t>
      </w:r>
    </w:p>
    <w:p>
      <w:pPr>
        <w:spacing w:after="80"/>
      </w:pPr>
      <w:r>
        <w:rPr>
          <w:rFonts w:ascii="Georgia" w:cs="Georgia" w:eastAsia="Georgia" w:hAnsi="Georgia"/>
          <w:i/>
          <w:iCs/>
          <w:color w:val="555555"/>
          <w:sz w:val="22"/>
          <w:szCs w:val="22"/>
        </w:rPr>
        <w:t xml:space="preserve">How the gap between polished AI narrative and verifiable evidence creates litigation exposure, and how practitioners can ensure defensible records.</w:t>
      </w:r>
    </w:p>
    <w:p>
      <w:pPr>
        <w:pBdr>
          <w:bottom w:val="single" w:color="7A5E28" w:sz="6" w:space="6"/>
        </w:pBdr>
        <w:spacing w:after="40"/>
      </w:pPr>
      <w:r>
        <w:rPr>
          <w:rFonts w:ascii="Georgia" w:cs="Georgia" w:eastAsia="Georgia" w:hAnsi="Georgia"/>
          <w:color w:val="141414"/>
          <w:sz w:val="21"/>
          <w:szCs w:val="21"/>
        </w:rPr>
        <w:t xml:space="preserve">By Phillip Wikes, AI Governance and Cognitive Risk Advisor</w:t>
      </w:r>
    </w:p>
    <w:p>
      <w:pPr>
        <w:spacing w:after="120"/>
      </w:pPr>
      <w:r>
        <w:rPr>
          <w:rFonts w:ascii="Georgia" w:cs="Georgia" w:eastAsia="Georgia" w:hAnsi="Georgia"/>
          <w:i/>
          <w:iCs/>
          <w:color w:val="7A5E28"/>
          <w:sz w:val="18"/>
          <w:szCs w:val="18"/>
        </w:rPr>
        <w:t xml:space="preserve">Draft prepared for review and co-authoring with Gabriela Bar, PhD, Attorney at Law (EU AI law).</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In employment disputes, the written record carries primary evidentiary weight. When it falls short, every other element of the case becomes harder to defend.</w:t>
      </w:r>
    </w:p>
    <w:p>
      <w:pPr>
        <w:spacing w:after="130"/>
        <w:jc w:val="both"/>
      </w:pPr>
      <w:r>
        <w:rPr>
          <w:rFonts w:ascii="Georgia" w:cs="Georgia" w:eastAsia="Georgia" w:hAnsi="Georgia"/>
          <w:color w:val="1a1a1a"/>
          <w:sz w:val="21"/>
          <w:szCs w:val="21"/>
        </w:rPr>
        <w:t xml:space="preserve">An AI-assisted draft reads like a finished record. The sentences are confident, the structure is coherent, and the conclusions sound reasoned. The relevant discovery question is whether the document is tied back to the facts it asserts. That gap, between fluent narrative and verifiable evidence, is the central concern of this article.</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explain, on its own terms, why a decision was made. The evidentiary deficit is DRR seen from the litigation side: when the reasoning behind a record cannot be reconstructed, the decision cannot be defended.</w:t>
      </w:r>
    </w:p>
    <w:p>
      <w:pPr>
        <w:spacing w:after="130"/>
        <w:jc w:val="both"/>
      </w:pPr>
      <w:r>
        <w:rPr>
          <w:rFonts w:ascii="Georgia" w:cs="Georgia" w:eastAsia="Georgia" w:hAnsi="Georgia"/>
          <w:color w:val="1a1a1a"/>
          <w:sz w:val="21"/>
          <w:szCs w:val="21"/>
        </w:rPr>
        <w:t xml:space="preserve">Courts and regulators have always relied on contemporaneous documentation to test whether a decision was lawful, consistent, and free of bias. As organizations move more of their drafting into AI-assisted tools, the evidentiary integrity of the resulting records becomes a genuine legal issue, not a theoretical one.</w:t>
      </w:r>
    </w:p>
    <w:p>
      <w:pPr>
        <w:spacing w:after="130"/>
        <w:jc w:val="both"/>
      </w:pPr>
      <w:r>
        <w:rPr>
          <w:rFonts w:ascii="Georgia" w:cs="Georgia" w:eastAsia="Georgia" w:hAnsi="Georgia"/>
          <w:color w:val="1a1a1a"/>
          <w:sz w:val="21"/>
          <w:szCs w:val="21"/>
        </w:rPr>
        <w:t xml:space="preserve">AI-assisted documentation is treated as presumptively discoverable. Drafting workflows should be built on that assumption from the start.</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record must do more than state a conclusion. It has to show the factual basis behind that conclusion. When the documentation cannot substantiate the reasoning it claims to reflect, the organization loses the very evidence it needs to defend the decision.</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A manager prompts the model to draft a termination justification, then prompts the same model to generate the supporting facts. The resulting file is internally consistent but cannot be tied to independent evidence. In discovery, unsupported assertions are treated as post hoc rationalization, particularly where the drafting record shows AI-generated narrative being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Transatlantic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the same time.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further below by co-author Gabriela Bar.</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Can the record be understood independently of its author? Are its conclusions supported by verifiable, non-AI-generated evidence? Can a neutral reviewer reconstruct the reasoning without additional explanation?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The drafting tool has changed. The evidentiary test has not. Risk arises where evidentiary traceability is absent, which is to say where Decision Reconstruction Risk is present. Records are evaluated on whether the evidentiary architecture behind them is visible, reproducible, and capable of withstanding scrutiny in both discovery and regulatory review.</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providers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 Learn more: https://jrsstandard.com</w:t>
      </w:r>
    </w:p>
    <w:p>
      <w:pPr>
        <w:pStyle w:val="Heading2"/>
        <w:spacing w:after="90" w:before="220"/>
      </w:pPr>
      <w:r>
        <w:rPr>
          <w:rFonts w:ascii="Georgia" w:cs="Georgia" w:eastAsia="Georgia" w:hAnsi="Georgia"/>
          <w:b/>
          <w:bCs/>
          <w:color w:val="141414"/>
          <w:sz w:val="24"/>
          <w:szCs w:val="24"/>
        </w:rPr>
        <w:t xml:space="preserve">About the Author</w:t>
      </w:r>
    </w:p>
    <w:p>
      <w:pPr>
        <w:spacing w:after="130"/>
        <w:jc w:val="both"/>
      </w:pPr>
      <w:r>
        <w:rPr>
          <w:rFonts w:ascii="Georgia" w:cs="Georgia" w:eastAsia="Georgia" w:hAnsi="Georgia"/>
          <w:color w:val="1a1a1a"/>
          <w:sz w:val="21"/>
          <w:szCs w:val="21"/>
        </w:rPr>
        <w:t xml:space="preserve">Phillip Wikes is an AI Governance and Cognitive Risk Advisor focused on documentation integrity, evidentiary traceability, and record-level controls in AI-assisted environments.</w:t>
      </w:r>
    </w:p>
    <w:p>
      <w:pPr>
        <w:spacing w:after="130"/>
        <w:jc w:val="both"/>
      </w:pPr>
      <w:r>
        <w:rPr>
          <w:rFonts w:ascii="Georgia" w:cs="Georgia" w:eastAsia="Georgia" w:hAnsi="Georgia"/>
          <w:color w:val="1a1a1a"/>
          <w:sz w:val="21"/>
          <w:szCs w:val="21"/>
        </w:rPr>
        <w:t xml:space="preserve">From 2012 to 2025, he served as a Lead Civil Rights Officer at the Maryland Commission on Civil Rights, evaluating discrimination complaints and resolving matters through investigation, mediation, and structured fact-finding under federal HUD and EEOC frameworks.</w:t>
      </w:r>
    </w:p>
    <w:p>
      <w:pPr>
        <w:spacing w:after="130"/>
        <w:jc w:val="both"/>
      </w:pPr>
      <w:r>
        <w:rPr>
          <w:rFonts w:ascii="Georgia" w:cs="Georgia" w:eastAsia="Georgia" w:hAnsi="Georgia"/>
          <w:color w:val="1a1a1a"/>
          <w:sz w:val="21"/>
          <w:szCs w:val="21"/>
        </w:rPr>
        <w:t xml:space="preserve">He developed the Justification Review Standard (JRS), a structured documentation review instrument built for practitioner application within existing HR, compliance, investigations, audit, and legal review workflows, and named the risk it addresses: Decision Reconstruction Risk (DRR).</w:t>
      </w:r>
    </w:p>
    <w:p>
      <w:pPr>
        <w:spacing w:after="130"/>
        <w:jc w:val="both"/>
      </w:pPr>
      <w:r>
        <w:rPr>
          <w:rFonts w:ascii="Georgia" w:cs="Georgia" w:eastAsia="Georgia" w:hAnsi="Georgia"/>
          <w:color w:val="1a1a1a"/>
          <w:sz w:val="21"/>
          <w:szCs w:val="21"/>
        </w:rPr>
        <w:t xml:space="preserve">He also co-developed cognitive-behavioral programs used in educational and juvenile justice settings,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2026-07-24T13:33:25.085Z</dcterms:created>
  <dcterms:modified xsi:type="dcterms:W3CDTF">2026-07-24T13:33:25.085Z</dcterms:modified>
</cp:coreProperties>
</file>

<file path=docProps/custom.xml><?xml version="1.0" encoding="utf-8"?>
<Properties xmlns="http://schemas.openxmlformats.org/officeDocument/2006/custom-properties" xmlns:vt="http://schemas.openxmlformats.org/officeDocument/2006/docPropsVTypes"/>
</file>