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Cross-domain paper: submission memo</w:t>
      </w:r>
    </w:p>
    <w:p>
      <w:pPr>
        <w:spacing w:after="160" w:line="276" w:lineRule="auto"/>
      </w:pPr>
      <w:r>
        <w:rPr>
          <w:b/>
        </w:rPr>
        <w:t xml:space="preserve">INTERNAL. Do not send this to a publisher and do not attach it to the manuscript.</w:t>
      </w:r>
    </w:p>
    <w:p>
      <w:pPr>
        <w:spacing w:after="160" w:line="276" w:lineRule="auto"/>
      </w:pPr>
      <w:r>
        <w:t xml:space="preserve">The manuscript `CrossDomain_Validation_Manuscript_2026-08-21.md` now carries no venue</w:t>
      </w:r>
    </w:p>
    <w:p>
      <w:pPr>
        <w:spacing w:after="160" w:line="276" w:lineRule="auto"/>
      </w:pPr>
      <w:r>
        <w:t xml:space="preserve">line and no submission language, by design.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1. The portfolio, and the collision I created</w:t>
      </w:r>
    </w:p>
    <w:p>
      <w:pPr>
        <w:spacing w:after="160" w:line="276" w:lineRule="auto"/>
      </w:pPr>
      <w:r>
        <w:t xml:space="preserve">I recommended Records Management Journal twice without reading the venue map. **RMJ is</w:t>
      </w:r>
    </w:p>
    <w:p>
      <w:pPr>
        <w:spacing w:after="160" w:line="276" w:lineRule="auto"/>
      </w:pPr>
      <w:r>
        <w:t xml:space="preserve">already claimed.** Full portfolio state, read from the corpus this turn:</w:t>
      </w:r>
    </w:p>
    <w:p>
      <w:pPr>
        <w:spacing w:after="160" w:line="276" w:lineRule="auto"/>
      </w:pPr>
      <w:r>
        <w:t xml:space="preserve">| Piece | Venue | Status |</w:t>
      </w:r>
    </w:p>
    <w:p>
      <w:pPr>
        <w:spacing w:after="160" w:line="276" w:lineRule="auto"/>
      </w:pPr>
      <w:r>
        <w:t xml:space="preserve">|---|---|---|</w:t>
      </w:r>
    </w:p>
    <w:p>
      <w:pPr>
        <w:spacing w:after="160" w:line="276" w:lineRule="auto"/>
      </w:pPr>
      <w:r>
        <w:t xml:space="preserve">| "When the Record Cannot Speak for Itself" | </w:t>
      </w:r>
      <w:r>
        <w:rPr>
          <w:b/>
        </w:rPr>
        <w:t xml:space="preserve">CEP Magazine (SCCE)</w:t>
      </w:r>
      <w:r>
        <w:t xml:space="preserve"> | </w:t>
      </w:r>
      <w:r>
        <w:rPr>
          <w:b/>
        </w:rPr>
        <w:t xml:space="preserve">ACCEPTED 2026-07-16, November issue, in copy-editing since 2026-07-21.</w:t>
      </w:r>
      <w:r>
        <w:t xml:space="preserve"> Phillip solo, no co-author |</w:t>
      </w:r>
    </w:p>
    <w:p>
      <w:pPr>
        <w:spacing w:after="160" w:line="276" w:lineRule="auto"/>
      </w:pPr>
      <w:r>
        <w:t xml:space="preserve">| Detection, international expert study | AI and Ethics (Springer) | FINAL5, frozen, submission-ready |</w:t>
      </w:r>
    </w:p>
    <w:p>
      <w:pPr>
        <w:spacing w:after="160" w:line="276" w:lineRule="auto"/>
      </w:pPr>
      <w:r>
        <w:t xml:space="preserve">| Arm B / comparison | AI and Ethics | Same venue as detection, collision already noted in `Article1_Submission_Plan.md:38` |</w:t>
      </w:r>
    </w:p>
    <w:p>
      <w:pPr>
        <w:spacing w:after="160" w:line="276" w:lineRule="auto"/>
      </w:pPr>
      <w:r>
        <w:t xml:space="preserve">| Evidentiary Deficit (Colpan and Wikes) | Corporate Compliance Insights | Locked, blocked on headshots |</w:t>
      </w:r>
    </w:p>
    <w:p>
      <w:pPr>
        <w:spacing w:after="160" w:line="276" w:lineRule="auto"/>
      </w:pPr>
      <w:r>
        <w:t xml:space="preserve">| DRR as a record-level control | </w:t>
      </w:r>
      <w:r>
        <w:rPr>
          <w:b/>
        </w:rPr>
        <w:t xml:space="preserve">EDPACS</w:t>
      </w:r>
      <w:r>
        <w:t xml:space="preserve"> primary; alternates ISACA Journal, </w:t>
      </w:r>
      <w:r>
        <w:rPr>
          <w:b/>
        </w:rPr>
        <w:t xml:space="preserve">Records Management Journal</w:t>
      </w:r>
      <w:r>
        <w:t xml:space="preserve">, Business Information Review | Single-authored, submittable on a read-through |</w:t>
      </w:r>
    </w:p>
    <w:p>
      <w:pPr>
        <w:spacing w:after="160" w:line="276" w:lineRule="auto"/>
      </w:pPr>
      <w:r>
        <w:t xml:space="preserve">| Rungs 1 and 2 | Journal of Responsible Technology | Per `Article1_Submission_Plan.md:42` |</w:t>
      </w:r>
    </w:p>
    <w:p>
      <w:pPr>
        <w:spacing w:after="160" w:line="276" w:lineRule="auto"/>
      </w:pPr>
      <w:r>
        <w:t xml:space="preserve">| FOIL public records | Journal of Civic Information | Young first-authored |</w:t>
      </w:r>
    </w:p>
    <w:p>
      <w:pPr>
        <w:spacing w:after="160" w:line="276" w:lineRule="auto"/>
      </w:pPr>
      <w:r>
        <w:t xml:space="preserve">| Employment pilot | I said RMJ | </w:t>
      </w:r>
      <w:r>
        <w:rPr>
          <w:b/>
        </w:rPr>
        <w:t xml:space="preserve">Collides</w:t>
      </w:r>
      <w:r>
        <w:t xml:space="preserve"> |</w:t>
      </w:r>
    </w:p>
    <w:p>
      <w:pPr>
        <w:spacing w:after="160" w:line="276" w:lineRule="auto"/>
      </w:pPr>
      <w:r>
        <w:t xml:space="preserve">| Cross-domain (this paper) | I said RMJ | </w:t>
      </w:r>
      <w:r>
        <w:rPr>
          <w:b/>
        </w:rPr>
        <w:t xml:space="preserve">Collides</w:t>
      </w:r>
      <w:r>
        <w:t xml:space="preserve"> |</w:t>
      </w:r>
    </w:p>
    <w:p>
      <w:pPr>
        <w:spacing w:after="160" w:line="276" w:lineRule="auto"/>
      </w:pPr>
      <w:r>
        <w:rPr>
          <w:b/>
        </w:rPr>
        <w:t xml:space="preserve">Two standing constraints I had not carried forward.</w:t>
      </w:r>
      <w:r>
        <w:t xml:space="preserve"> `MASTER_TRACKER.md:580`: Compliance</w:t>
      </w:r>
    </w:p>
    <w:p>
      <w:pPr>
        <w:spacing w:after="160" w:line="276" w:lineRule="auto"/>
      </w:pPr>
      <w:r>
        <w:t xml:space="preserve">Today / Scott Moe approached on 2026-07-17 and the recorded decision is **DO NOT duplicate</w:t>
      </w:r>
    </w:p>
    <w:p>
      <w:pPr>
        <w:spacing w:after="160" w:line="276" w:lineRule="auto"/>
      </w:pPr>
      <w:r>
        <w:t xml:space="preserve">the CEP article.</w:t>
      </w:r>
      <w:r>
        <w:rPr>
          <w:b/>
        </w:rPr>
        <w:t xml:space="preserve"> `MASTER_TRACKER.md:230`: </w:t>
      </w:r>
      <w:r>
        <w:t xml:space="preserve">one article, one author set**, and the CEP</w:t>
      </w:r>
    </w:p>
    <w:p>
      <w:pPr>
        <w:spacing w:after="160" w:line="276" w:lineRule="auto"/>
      </w:pPr>
      <w:r>
        <w:t xml:space="preserve">piece stays Phillip solo.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2. Recommended venue: Journal of Documentation (Emerald)</w:t>
      </w:r>
    </w:p>
    <w:p>
      <w:pPr>
        <w:spacing w:after="160" w:line="276" w:lineRule="auto"/>
      </w:pPr>
      <w:r>
        <w:t xml:space="preserve">*</w:t>
      </w:r>
      <w:r>
        <w:rPr>
          <w:i/>
        </w:rPr>
        <w:t xml:space="preserve">Primary: </w:t>
      </w:r>
      <w:r>
        <w:t xml:space="preserve">Journal of Documentation</w:t>
      </w:r>
      <w:r>
        <w:rPr>
          <w:i/>
        </w:rPr>
        <w:t xml:space="preserve"> (Emerald).</w:t>
      </w:r>
      <w:r>
        <w:t xml:space="preserve">*</w:t>
      </w:r>
    </w:p>
    <w:p>
      <w:pPr>
        <w:spacing w:after="160" w:line="276" w:lineRule="auto"/>
      </w:pPr>
      <w:r>
        <w:t xml:space="preserve">| Criterion | Assessment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Scope | Publishes theory and measurement about documents as evidence, including instrument development and validation. </w:t>
      </w:r>
      <w:r>
        <w:rPr>
          <w:b/>
        </w:rPr>
        <w:t xml:space="preserve">This paper is a measurement-validity paper about documents.</w:t>
      </w:r>
      <w:r>
        <w:t xml:space="preserve"> That is the journal's core subject rather than an adjacent one |</w:t>
      </w:r>
    </w:p>
    <w:p>
      <w:pPr>
        <w:spacing w:after="160" w:line="276" w:lineRule="auto"/>
      </w:pPr>
      <w:r>
        <w:t xml:space="preserve">| Collision | </w:t>
      </w:r>
      <w:r>
        <w:rPr>
          <w:b/>
        </w:rPr>
        <w:t xml:space="preserve">None anywhere in the corpus.</w:t>
      </w:r>
      <w:r>
        <w:t xml:space="preserve"> Not claimed by any other piece |</w:t>
      </w:r>
    </w:p>
    <w:p>
      <w:pPr>
        <w:spacing w:after="160" w:line="276" w:lineRule="auto"/>
      </w:pPr>
      <w:r>
        <w:t xml:space="preserve">| Cost | Emerald hybrid. The subscription route carries no article processing charge. Their open-access route is optional at GBP 3,222 |</w:t>
      </w:r>
    </w:p>
    <w:p>
      <w:pPr>
        <w:spacing w:after="160" w:line="276" w:lineRule="auto"/>
      </w:pPr>
      <w:r>
        <w:t xml:space="preserve">| Tolerance | Peer-reviewed and methodological. Publishes validation work at this scale rather than requiring large trials |</w:t>
      </w:r>
    </w:p>
    <w:p>
      <w:pPr>
        <w:spacing w:after="160" w:line="276" w:lineRule="auto"/>
      </w:pPr>
      <w:r>
        <w:t xml:space="preserve">| Fit to the argument | The four-line validity structure, convergent, construct, discriminant and criterion, is the standard the journal's readership expects and is unusual in records research |</w:t>
      </w:r>
    </w:p>
    <w:p>
      <w:pPr>
        <w:spacing w:after="160" w:line="276" w:lineRule="auto"/>
      </w:pPr>
      <w:r>
        <w:t xml:space="preserve">*</w:t>
      </w:r>
      <w:r>
        <w:rPr>
          <w:i/>
        </w:rPr>
        <w:t xml:space="preserve">Second: </w:t>
      </w:r>
      <w:r>
        <w:t xml:space="preserve">Records Management Journal</w:t>
      </w:r>
      <w:r>
        <w:rPr>
          <w:i/>
        </w:rPr>
        <w:t xml:space="preserve"> (Emerald).</w:t>
      </w:r>
      <w:r>
        <w:t xml:space="preserve">* Exact domain fit and the same cost</w:t>
      </w:r>
    </w:p>
    <w:p>
      <w:pPr>
        <w:spacing w:after="160" w:line="276" w:lineRule="auto"/>
      </w:pPr>
      <w:r>
        <w:t xml:space="preserve">model. </w:t>
      </w:r>
      <w:r>
        <w:rPr>
          <w:b/>
        </w:rPr>
        <w:t xml:space="preserve">The collision is conditional, not actual:</w:t>
      </w:r>
      <w:r>
        <w:t xml:space="preserve"> RMJ is the third alternate on the</w:t>
      </w:r>
    </w:p>
    <w:p>
      <w:pPr>
        <w:spacing w:after="160" w:line="276" w:lineRule="auto"/>
      </w:pPr>
      <w:r>
        <w:t xml:space="preserve">EDPACS piece, behind EDPACS itself and ISACA Journal. It only becomes a real conflict if</w:t>
      </w:r>
    </w:p>
    <w:p>
      <w:pPr>
        <w:spacing w:after="160" w:line="276" w:lineRule="auto"/>
      </w:pPr>
      <w:r>
        <w:t xml:space="preserve">both of those decline. If you send the cross-domain paper to Journal of Documentation</w:t>
      </w:r>
    </w:p>
    <w:p>
      <w:pPr>
        <w:spacing w:after="160" w:line="276" w:lineRule="auto"/>
      </w:pPr>
      <w:r>
        <w:t xml:space="preserve">first, RMJ stays free as the EDPACS fallback and nothing has to be untangled later.</w:t>
      </w:r>
    </w:p>
    <w:p>
      <w:pPr>
        <w:spacing w:after="160" w:line="276" w:lineRule="auto"/>
      </w:pPr>
      <w:r>
        <w:t xml:space="preserve">*</w:t>
      </w:r>
      <w:r>
        <w:rPr>
          <w:i/>
        </w:rPr>
        <w:t xml:space="preserve">Third: </w:t>
      </w:r>
      <w:r>
        <w:t xml:space="preserve">Business Information Review</w:t>
      </w:r>
      <w:r>
        <w:rPr>
          <w:i/>
        </w:rPr>
        <w:t xml:space="preserve"> (SAGE).</w:t>
      </w:r>
      <w:r>
        <w:t xml:space="preserve">* Practitioner-academic bridge, also on the</w:t>
      </w:r>
    </w:p>
    <w:p>
      <w:pPr>
        <w:spacing w:after="160" w:line="276" w:lineRule="auto"/>
      </w:pPr>
      <w:r>
        <w:t xml:space="preserve">EDPACS alternate list, same conditional-collision reasoning.</w:t>
      </w:r>
    </w:p>
    <w:p>
      <w:pPr>
        <w:spacing w:after="160" w:line="276" w:lineRule="auto"/>
      </w:pPr>
      <w:r>
        <w:rPr>
          <w:b/>
        </w:rPr>
        <w:t xml:space="preserve">Do not use:</w:t>
      </w:r>
      <w:r>
        <w:t xml:space="preserve"> AI and Ethics (detection and Arm B), Corporate Compliance Insights</w:t>
      </w:r>
    </w:p>
    <w:p>
      <w:pPr>
        <w:spacing w:after="160" w:line="276" w:lineRule="auto"/>
      </w:pPr>
      <w:r>
        <w:t xml:space="preserve">(Evidentiary Deficit), Journal of Civic Information (FOIL), CEP Magazine or Compliance</w:t>
      </w:r>
    </w:p>
    <w:p>
      <w:pPr>
        <w:spacing w:after="160" w:line="276" w:lineRule="auto"/>
      </w:pPr>
      <w:r>
        <w:t xml:space="preserve">Today (accepted piece, and duplication is expressly ruled out), Journal of Business Ethics</w:t>
      </w:r>
    </w:p>
    <w:p>
      <w:pPr>
        <w:spacing w:after="160" w:line="276" w:lineRule="auto"/>
      </w:pPr>
      <w:r>
        <w:t xml:space="preserve">(rejected on fit in `BusinessEthics_Findings_and_Strategy_2026-08-21.md`).</w:t>
      </w:r>
    </w:p>
    <w:p>
      <w:pPr>
        <w:spacing w:after="160" w:line="276" w:lineRule="auto"/>
      </w:pPr>
      <w:r>
        <w:rPr>
          <w:b/>
        </w:rPr>
        <w:t xml:space="preserve">Estimated acceptance after revisions: 50 to 65 percent.</w:t>
      </w:r>
      <w:r>
        <w:t xml:space="preserve"> Reasoned judgment, not measured.</w:t>
      </w:r>
    </w:p>
    <w:p>
      <w:pPr>
        <w:spacing w:after="160" w:line="276" w:lineRule="auto"/>
      </w:pPr>
      <w:r>
        <w:t xml:space="preserve">Raising it: 54 records across two unrelated domains, two independent reviewers, four</w:t>
      </w:r>
    </w:p>
    <w:p>
      <w:pPr>
        <w:spacing w:after="160" w:line="276" w:lineRule="auto"/>
      </w:pPr>
      <w:r>
        <w:t xml:space="preserve">validity lines, a 5 of 5 concordance with government auditors, and a predicted null</w:t>
      </w:r>
    </w:p>
    <w:p>
      <w:pPr>
        <w:spacing w:after="160" w:line="276" w:lineRule="auto"/>
      </w:pPr>
      <w:r>
        <w:t xml:space="preserve">reported as evidence. Holding it down: both reviewers recorded their own outcomes, cases</w:t>
      </w:r>
    </w:p>
    <w:p>
      <w:pPr>
        <w:spacing w:after="160" w:line="276" w:lineRule="auto"/>
      </w:pPr>
      <w:r>
        <w:t xml:space="preserve">were selected rather than sampled, no analysis plan fixed a primary coding, cells are small,</w:t>
      </w:r>
    </w:p>
    <w:p>
      <w:pPr>
        <w:spacing w:after="160" w:line="276" w:lineRule="auto"/>
      </w:pPr>
      <w:r>
        <w:t xml:space="preserve">and no institutional affiliation.</w:t>
      </w:r>
    </w:p>
    <w:p>
      <w:pPr>
        <w:spacing w:after="160" w:line="276" w:lineRule="auto"/>
      </w:pPr>
      <w:r>
        <w:rPr>
          <w:b/>
        </w:rPr>
        <w:t xml:space="preserve">Two items unverified and not guessed.</w:t>
      </w:r>
      <w:r>
        <w:t xml:space="preserve"> Journal of Documentation's specific word ceiling</w:t>
      </w:r>
    </w:p>
    <w:p>
      <w:pPr>
        <w:spacing w:after="160" w:line="276" w:lineRule="auto"/>
      </w:pPr>
      <w:r>
        <w:t xml:space="preserve">and its current hybrid status could not be retrieved: Emerald's author-guidelines pages</w:t>
      </w:r>
    </w:p>
    <w:p>
      <w:pPr>
        <w:spacing w:after="160" w:line="276" w:lineRule="auto"/>
      </w:pPr>
      <w:r>
        <w:t xml:space="preserve">return 403 to this environment. The manuscript is 3,312 words, or **4,152 by Emerald's</w:t>
      </w:r>
    </w:p>
    <w:p>
      <w:pPr>
        <w:spacing w:after="160" w:line="276" w:lineRule="auto"/>
      </w:pPr>
      <w:r>
        <w:t xml:space="preserve">counting rule** (abstract, references and table text, plus 280 per table). Confirm both on</w:t>
      </w:r>
    </w:p>
    <w:p>
      <w:pPr>
        <w:spacing w:after="160" w:line="276" w:lineRule="auto"/>
      </w:pPr>
      <w:r>
        <w:t xml:space="preserve">the journal page before submitting.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3. Order of operations</w:t>
      </w:r>
    </w:p>
    <w:p>
      <w:pPr>
        <w:ind w:left="360" w:hanging="360"/>
        <w:spacing w:after="60"/>
      </w:pPr>
      <w:r>
        <w:t xml:space="preserve">1. </w:t>
      </w:r>
      <w:r>
        <w:rPr>
          <w:b/>
        </w:rPr>
        <w:t xml:space="preserve">Do not submit anything until the four co-author confirmations are in.</w:t>
      </w:r>
      <w:r>
        <w:t xml:space="preserve"> The manuscript</w:t>
      </w:r>
    </w:p>
    <w:p>
      <w:pPr>
        <w:spacing w:after="160" w:line="276" w:lineRule="auto"/>
      </w:pPr>
      <w:r>
        <w:t xml:space="preserve">   carries a deliberate fail-closed stub, `[REQUIRED_ENV_PARAM: co-author declarations]`,</w:t>
      </w:r>
    </w:p>
    <w:p>
      <w:pPr>
        <w:spacing w:after="160" w:line="276" w:lineRule="auto"/>
      </w:pPr>
      <w:r>
        <w:t xml:space="preserve">   covering financial interest and funding for Young, Pokhriyal and Hossain. It is in the</w:t>
      </w:r>
    </w:p>
    <w:p>
      <w:pPr>
        <w:spacing w:after="160" w:line="276" w:lineRule="auto"/>
      </w:pPr>
      <w:r>
        <w:t xml:space="preserve">   file so it cannot be forgotten. Replace it with their confirmed words.</w:t>
      </w:r>
    </w:p>
    <w:p>
      <w:pPr>
        <w:ind w:left="360" w:hanging="360"/>
        <w:spacing w:after="60"/>
      </w:pPr>
      <w:r>
        <w:t xml:space="preserve">2. </w:t>
      </w:r>
      <w:r>
        <w:rPr>
          <w:b/>
        </w:rPr>
        <w:t xml:space="preserve">Young approves first authorship and Section 4.1 to 4.3</w:t>
      </w:r>
      <w:r>
        <w:t xml:space="preserve">, which are her corpus and her</w:t>
      </w:r>
    </w:p>
    <w:p>
      <w:pPr>
        <w:spacing w:after="160" w:line="276" w:lineRule="auto"/>
      </w:pPr>
      <w:r>
        <w:t xml:space="preserve">   note coding.</w:t>
      </w:r>
    </w:p>
    <w:p>
      <w:pPr>
        <w:ind w:left="360" w:hanging="360"/>
        <w:spacing w:after="60"/>
      </w:pPr>
      <w:r>
        <w:t xml:space="preserve">3. </w:t>
      </w:r>
      <w:r>
        <w:rPr>
          <w:b/>
        </w:rPr>
        <w:t xml:space="preserve">Pokhriyal approves Section 3.1, 4.4 and the dual-role disclosure.</w:t>
      </w:r>
      <w:r>
        <w:t xml:space="preserve"> See the separate</w:t>
      </w:r>
    </w:p>
    <w:p>
      <w:pPr>
        <w:spacing w:after="160" w:line="276" w:lineRule="auto"/>
      </w:pPr>
      <w:r>
        <w:t xml:space="preserve">   message drafted for her.</w:t>
      </w:r>
    </w:p>
    <w:p>
      <w:pPr>
        <w:ind w:left="360" w:hanging="360"/>
        <w:spacing w:after="60"/>
      </w:pPr>
      <w:r>
        <w:t xml:space="preserve">4. </w:t>
      </w:r>
      <w:r>
        <w:rPr>
          <w:b/>
        </w:rPr>
        <w:t xml:space="preserve">Hossain approves the methodology attribution.</w:t>
      </w:r>
    </w:p>
    <w:p>
      <w:pPr>
        <w:ind w:left="360" w:hanging="360"/>
        <w:spacing w:after="60"/>
      </w:pPr>
      <w:r>
        <w:t xml:space="preserve">5. Confirm the Journal of Documentation word ceiling and hybrid status.</w:t>
      </w:r>
    </w:p>
    <w:p>
      <w:pPr>
        <w:ind w:left="360" w:hanging="360"/>
        <w:spacing w:after="60"/>
      </w:pPr>
      <w:r>
        <w:t xml:space="preserve">6. Submit.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4. What a reviewer will attack, and the answer</w:t>
      </w:r>
    </w:p>
    <w:p>
      <w:pPr>
        <w:spacing w:after="160" w:line="276" w:lineRule="auto"/>
      </w:pPr>
      <w:r>
        <w:rPr>
          <w:b/>
        </w:rPr>
        <w:t xml:space="preserve">"Your reviewers scored their own outcomes."</w:t>
      </w:r>
      <w:r>
        <w:t xml:space="preserve"> Concede immediately. It is disclosed in</w:t>
      </w:r>
    </w:p>
    <w:p>
      <w:pPr>
        <w:spacing w:after="160" w:line="276" w:lineRule="auto"/>
      </w:pPr>
      <w:r>
        <w:t xml:space="preserve">Section 3.2 and again in Section 6, and Section 7 makes role separation the first</w:t>
      </w:r>
    </w:p>
    <w:p>
      <w:pPr>
        <w:spacing w:after="160" w:line="276" w:lineRule="auto"/>
      </w:pPr>
      <w:r>
        <w:t xml:space="preserve">requirement of the confirmatory design. Do not defend it.</w:t>
      </w:r>
    </w:p>
    <w:p>
      <w:pPr>
        <w:spacing w:after="160" w:line="276" w:lineRule="auto"/>
      </w:pPr>
      <w:r>
        <w:t xml:space="preserve">**"The audit cases are circular: a document that exists because auditors found a failure</w:t>
      </w:r>
    </w:p>
    <w:p>
      <w:pPr>
        <w:spacing w:after="160" w:line="276" w:lineRule="auto"/>
      </w:pPr>
      <w:r>
        <w:t xml:space="preserve">will read as a gap."** This is the sharpest available objection and the paper must not</w:t>
      </w:r>
    </w:p>
    <w:p>
      <w:pPr>
        <w:spacing w:after="160" w:line="276" w:lineRule="auto"/>
      </w:pPr>
      <w:r>
        <w:t xml:space="preserve">dodge it. The answer is that Section 4.1 reports concordance between two instruments, not</w:t>
      </w:r>
    </w:p>
    <w:p>
      <w:pPr>
        <w:spacing w:after="160" w:line="276" w:lineRule="auto"/>
      </w:pPr>
      <w:r>
        <w:t xml:space="preserve">prediction of an outcome, and that it is reported alongside a discriminant result and a</w:t>
      </w:r>
    </w:p>
    <w:p>
      <w:pPr>
        <w:spacing w:after="160" w:line="276" w:lineRule="auto"/>
      </w:pPr>
      <w:r>
        <w:t xml:space="preserve">predicted null which a circular measure would not produce. **If a reviewer insists, offer</w:t>
      </w:r>
    </w:p>
    <w:p>
      <w:pPr>
        <w:spacing w:after="160" w:line="276" w:lineRule="auto"/>
      </w:pPr>
      <w:r>
        <w:t xml:space="preserve">to drop Section 4.1 entirely.** The pooled criterion result, the construct evidence and the</w:t>
      </w:r>
    </w:p>
    <w:p>
      <w:pPr>
        <w:spacing w:after="160" w:line="276" w:lineRule="auto"/>
      </w:pPr>
      <w:r>
        <w:t xml:space="preserve">discriminant evidence all stand without it.</w:t>
      </w:r>
    </w:p>
    <w:p>
      <w:pPr>
        <w:spacing w:after="160" w:line="276" w:lineRule="auto"/>
      </w:pPr>
      <w:r>
        <w:rPr>
          <w:b/>
        </w:rPr>
        <w:t xml:space="preserve">"You pooled a significant result with a null."</w:t>
      </w:r>
      <w:r>
        <w:t xml:space="preserve"> The Woolf test is the answer, and it was</w:t>
      </w:r>
    </w:p>
    <w:p>
      <w:pPr>
        <w:spacing w:after="160" w:line="276" w:lineRule="auto"/>
      </w:pPr>
      <w:r>
        <w:t xml:space="preserve">run before the pooling was written up rather than after: Q = 2.550 on 1 df, p = 0.110. The</w:t>
      </w:r>
    </w:p>
    <w:p>
      <w:pPr>
        <w:spacing w:after="160" w:line="276" w:lineRule="auto"/>
      </w:pPr>
      <w:r>
        <w:t xml:space="preserve">domains are statistically consistent. Say so and show the per-domain rows, which are in the</w:t>
      </w:r>
    </w:p>
    <w:p>
      <w:pPr>
        <w:spacing w:after="160" w:line="276" w:lineRule="auto"/>
      </w:pPr>
      <w:r>
        <w:t xml:space="preserve">Section 4.4 table.</w:t>
      </w:r>
    </w:p>
    <w:p>
      <w:pPr>
        <w:spacing w:after="160" w:line="276" w:lineRule="auto"/>
      </w:pPr>
      <w:r>
        <w:rPr>
          <w:b/>
        </w:rPr>
        <w:t xml:space="preserve">"Post-hoc note coding."</w:t>
      </w:r>
      <w:r>
        <w:t xml:space="preserve"> Conceded in the text itself. It is labelled construct evidence</w:t>
      </w:r>
    </w:p>
    <w:p>
      <w:pPr>
        <w:spacing w:after="160" w:line="276" w:lineRule="auto"/>
      </w:pPr>
      <w:r>
        <w:t xml:space="preserve">rather than a confirmatory test, and the contemporaneous notes make it checkable by anyone</w:t>
      </w:r>
    </w:p>
    <w:p>
      <w:pPr>
        <w:spacing w:after="160" w:line="276" w:lineRule="auto"/>
      </w:pPr>
      <w:r>
        <w:t xml:space="preserve">re-reading the case set.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5. Do not</w:t>
      </w:r>
    </w:p>
    <w:p>
      <w:pPr>
        <w:spacing w:after="160" w:line="276" w:lineRule="auto"/>
      </w:pPr>
      <w:r>
        <w:t xml:space="preserve">- Do not put the venue back into the manuscript.</w:t>
      </w:r>
    </w:p>
    <w:p>
      <w:pPr>
        <w:spacing w:after="160" w:line="276" w:lineRule="auto"/>
      </w:pPr>
      <w:r>
        <w:t xml:space="preserve">- Do not cite the CEP article as validation of anything. It is a practitioner piece and it</w:t>
      </w:r>
    </w:p>
    <w:p>
      <w:pPr>
        <w:spacing w:after="160" w:line="276" w:lineRule="auto"/>
      </w:pPr>
      <w:r>
        <w:t xml:space="preserve">  is accepted, not peer-reviewed empirical work.</w:t>
      </w:r>
    </w:p>
    <w:p>
      <w:pPr>
        <w:spacing w:after="160" w:line="276" w:lineRule="auto"/>
      </w:pPr>
      <w:r>
        <w:t xml:space="preserve">- Do not submit this and the EDPACS piece to Records Management Journal.</w:t>
      </w:r>
    </w:p>
    <w:p>
      <w:pPr>
        <w:spacing w:after="160" w:line="276" w:lineRule="auto"/>
      </w:pPr>
      <w:r>
        <w:t xml:space="preserve">- Do not send the change log, this memo, or the strategy memo to any publisher.</w:t>
      </w:r>
    </w:p>
    <w:p>
      <w:pPr>
        <w:spacing w:after="160" w:line="276" w:lineRule="auto"/>
      </w:pPr>
      <w:r>
        <w:t xml:space="preserve">- Do not restore the withdrawn per-condition discrimination analysis. It is circular and</w:t>
      </w:r>
    </w:p>
    <w:p>
      <w:pPr>
        <w:spacing w:after="160" w:line="276" w:lineRule="auto"/>
      </w:pPr>
      <w:r>
        <w:t xml:space="preserve">  the withdrawal is now recorded in the employment manuscript in terms.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