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Message to Tanvi Pokhriyal, 2026-08-21</w:t>
      </w:r>
    </w:p>
    <w:p>
      <w:pPr>
        <w:spacing w:after="160" w:line="276" w:lineRule="auto"/>
      </w:pPr>
      <w:r>
        <w:rPr>
          <w:b/>
        </w:rPr>
        <w:t xml:space="preserve">Subject: Your case set is in a bigger paper now, and I need two decisions from you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Hi Tanvi,</w:t>
      </w:r>
    </w:p>
    <w:p>
      <w:pPr>
        <w:spacing w:after="160" w:line="276" w:lineRule="auto"/>
      </w:pPr>
      <w:r>
        <w:t xml:space="preserve">Two things, and the second one is genuinely your call rather than mine.</w:t>
      </w:r>
    </w:p>
    <w:p>
      <w:pPr>
        <w:spacing w:after="160" w:line="276" w:lineRule="auto"/>
      </w:pPr>
      <w:r>
        <w:t xml:space="preserve">First: thank you for offering to add more cases. You do not need to. The pilot closed at</w:t>
      </w:r>
    </w:p>
    <w:p>
      <w:pPr>
        <w:spacing w:after="160" w:line="276" w:lineRule="auto"/>
      </w:pPr>
      <w:r>
        <w:t xml:space="preserve">22 on 29 July and 22 is enough. Adding cases now, after the analysis is written, would</w:t>
      </w:r>
    </w:p>
    <w:p>
      <w:pPr>
        <w:spacing w:after="160" w:line="276" w:lineRule="auto"/>
      </w:pPr>
      <w:r>
        <w:t xml:space="preserve">weaken the paper rather than strengthen it, because a reviewer cannot tell a corpus that</w:t>
      </w:r>
    </w:p>
    <w:p>
      <w:pPr>
        <w:spacing w:after="160" w:line="276" w:lineRule="auto"/>
      </w:pPr>
      <w:r>
        <w:t xml:space="preserve">grew from a corpus that grew once someone knew what the numbers looked like. So please</w:t>
      </w:r>
    </w:p>
    <w:p>
      <w:pPr>
        <w:spacing w:after="160" w:line="276" w:lineRule="auto"/>
      </w:pPr>
      <w:r>
        <w:t xml:space="preserve">stop where you are with my thanks. Nothing is outstanding from you on the case set.</w:t>
      </w:r>
    </w:p>
    <w:p>
      <w:pPr>
        <w:spacing w:after="160" w:line="276" w:lineRule="auto"/>
      </w:pPr>
      <w:r>
        <w:t xml:space="preserve">Second, the paper has changed shape, and for the better.</w:t>
      </w:r>
    </w:p>
    <w:p>
      <w:pPr>
        <w:spacing w:after="160" w:line="276" w:lineRule="auto"/>
      </w:pPr>
      <w:r>
        <w:t xml:space="preserve">Your 22 employment matters are now analysed alongside Stacyann Young's 32 public-records</w:t>
      </w:r>
    </w:p>
    <w:p>
      <w:pPr>
        <w:spacing w:after="160" w:line="276" w:lineRule="auto"/>
      </w:pPr>
      <w:r>
        <w:t xml:space="preserve">determinations as a single study of 54 records. The two of you built your corpora</w:t>
      </w:r>
    </w:p>
    <w:p>
      <w:pPr>
        <w:spacing w:after="160" w:line="276" w:lineRule="auto"/>
      </w:pPr>
      <w:r>
        <w:t xml:space="preserve">independently, in different domains, on different jurisdictions, without conferring, and</w:t>
      </w:r>
    </w:p>
    <w:p>
      <w:pPr>
        <w:spacing w:after="160" w:line="276" w:lineRule="auto"/>
      </w:pPr>
      <w:r>
        <w:t xml:space="preserve">that independence turns out to be the strongest thing about the paper. Your set showed a</w:t>
      </w:r>
    </w:p>
    <w:p>
      <w:pPr>
        <w:spacing w:after="160" w:line="276" w:lineRule="auto"/>
      </w:pPr>
      <w:r>
        <w:t xml:space="preserve">clear association between an incomplete read and an adverse finding. Hers did not, and she</w:t>
      </w:r>
    </w:p>
    <w:p>
      <w:pPr>
        <w:spacing w:after="160" w:line="276" w:lineRule="auto"/>
      </w:pPr>
      <w:r>
        <w:t xml:space="preserve">had already explained why: published freedom-of-information cases reach publication because</w:t>
      </w:r>
    </w:p>
    <w:p>
      <w:pPr>
        <w:spacing w:after="160" w:line="276" w:lineRule="auto"/>
      </w:pPr>
      <w:r>
        <w:t xml:space="preserve">a legal question was live, so the outcomes in her corpus are not a fair test.</w:t>
      </w:r>
    </w:p>
    <w:p>
      <w:pPr>
        <w:spacing w:after="160" w:line="276" w:lineRule="auto"/>
      </w:pPr>
      <w:r>
        <w:t xml:space="preserve">When the two are pooled, the association holds across 54 records, and a formal test shows</w:t>
      </w:r>
    </w:p>
    <w:p>
      <w:pPr>
        <w:spacing w:after="160" w:line="276" w:lineRule="auto"/>
      </w:pPr>
      <w:r>
        <w:t xml:space="preserve">your result and hers do not actually differ from each other in a statistically meaningful</w:t>
      </w:r>
    </w:p>
    <w:p>
      <w:pPr>
        <w:spacing w:after="160" w:line="276" w:lineRule="auto"/>
      </w:pPr>
      <w:r>
        <w:t xml:space="preserve">way. Your set had the cleaner base rate and the statistical power; hers had the reference</w:t>
      </w:r>
    </w:p>
    <w:p>
      <w:pPr>
        <w:spacing w:after="160" w:line="276" w:lineRule="auto"/>
      </w:pPr>
      <w:r>
        <w:t xml:space="preserve">material. Neither paper could have shown that alone.</w:t>
      </w:r>
    </w:p>
    <w:p>
      <w:pPr>
        <w:spacing w:after="160" w:line="276" w:lineRule="auto"/>
      </w:pPr>
      <w:r>
        <w:t xml:space="preserve">Now the two decisions.</w:t>
      </w:r>
    </w:p>
    <w:p>
      <w:pPr>
        <w:spacing w:after="160" w:line="276" w:lineRule="auto"/>
      </w:pPr>
      <w:r>
        <w:t xml:space="preserve">Authorship order. I have you as second author, after Stacyann and before Ubayet Hossain,</w:t>
      </w:r>
    </w:p>
    <w:p>
      <w:pPr>
        <w:spacing w:after="160" w:line="276" w:lineRule="auto"/>
      </w:pPr>
      <w:r>
        <w:t xml:space="preserve">with me last as senior author. Stacyann is first because her corpus is larger and carries</w:t>
      </w:r>
    </w:p>
    <w:p>
      <w:pPr>
        <w:spacing w:after="160" w:line="276" w:lineRule="auto"/>
      </w:pPr>
      <w:r>
        <w:t xml:space="preserve">three of the paper's four evidence lines. Your set carries the fourth, which is the</w:t>
      </w:r>
    </w:p>
    <w:p>
      <w:pPr>
        <w:spacing w:after="160" w:line="276" w:lineRule="auto"/>
      </w:pPr>
      <w:r>
        <w:t xml:space="preserve">outcome association, and it is the result the paper leads on in its abstract. If you think</w:t>
      </w:r>
    </w:p>
    <w:p>
      <w:pPr>
        <w:spacing w:after="160" w:line="276" w:lineRule="auto"/>
      </w:pPr>
      <w:r>
        <w:t xml:space="preserve">that order misreads the contribution, say so and we will discuss it properly. I would</w:t>
      </w:r>
    </w:p>
    <w:p>
      <w:pPr>
        <w:spacing w:after="160" w:line="276" w:lineRule="auto"/>
      </w:pPr>
      <w:r>
        <w:t xml:space="preserve">rather have that conversation now than after submission.</w:t>
      </w:r>
    </w:p>
    <w:p>
      <w:pPr>
        <w:spacing w:after="160" w:line="276" w:lineRule="auto"/>
      </w:pPr>
      <w:r>
        <w:t xml:space="preserve">The limitation, which I want you to see before anyone else does. The paper states plainly</w:t>
      </w:r>
    </w:p>
    <w:p>
      <w:pPr>
        <w:spacing w:after="160" w:line="276" w:lineRule="auto"/>
      </w:pPr>
      <w:r>
        <w:t xml:space="preserve">that you recorded both the reads and the outcomes for your cases, and that this means the</w:t>
      </w:r>
    </w:p>
    <w:p>
      <w:pPr>
        <w:spacing w:after="160" w:line="276" w:lineRule="auto"/>
      </w:pPr>
      <w:r>
        <w:t xml:space="preserve">reads were not independent of the person assigning the outcome. That is a real weakness in</w:t>
      </w:r>
    </w:p>
    <w:p>
      <w:pPr>
        <w:spacing w:after="160" w:line="276" w:lineRule="auto"/>
      </w:pPr>
      <w:r>
        <w:t xml:space="preserve">the design and it is mine, not yours: I set the protocol up that way. It is disclosed in the</w:t>
      </w:r>
    </w:p>
    <w:p>
      <w:pPr>
        <w:spacing w:after="160" w:line="276" w:lineRule="auto"/>
      </w:pPr>
      <w:r>
        <w:t xml:space="preserve">methods section, again in the limitations, and the fix is written into the design for the</w:t>
      </w:r>
    </w:p>
    <w:p>
      <w:pPr>
        <w:spacing w:after="160" w:line="276" w:lineRule="auto"/>
      </w:pPr>
      <w:r>
        <w:t xml:space="preserve">next study, which puts reads and outcomes in different hands.</w:t>
      </w:r>
    </w:p>
    <w:p>
      <w:pPr>
        <w:spacing w:after="160" w:line="276" w:lineRule="auto"/>
      </w:pPr>
      <w:r>
        <w:t xml:space="preserve">I am telling you directly because it sits close to your name on a paper you are second</w:t>
      </w:r>
    </w:p>
    <w:p>
      <w:pPr>
        <w:spacing w:after="160" w:line="276" w:lineRule="auto"/>
      </w:pPr>
      <w:r>
        <w:t xml:space="preserve">author of, and you should not discover it in a reviewer's comments. If you would rather not</w:t>
      </w:r>
    </w:p>
    <w:p>
      <w:pPr>
        <w:spacing w:after="160" w:line="276" w:lineRule="auto"/>
      </w:pPr>
      <w:r>
        <w:t xml:space="preserve">be listed for that reason, that is a legitimate position and I will respect it without</w:t>
      </w:r>
    </w:p>
    <w:p>
      <w:pPr>
        <w:spacing w:after="160" w:line="276" w:lineRule="auto"/>
      </w:pPr>
      <w:r>
        <w:t xml:space="preserve">argument.</w:t>
      </w:r>
    </w:p>
    <w:p>
      <w:pPr>
        <w:spacing w:after="160" w:line="276" w:lineRule="auto"/>
      </w:pPr>
      <w:r>
        <w:t xml:space="preserve">What I need from you when you have a moment:</w:t>
      </w:r>
    </w:p>
    <w:p>
      <w:pPr>
        <w:ind w:left="360" w:hanging="360"/>
        <w:spacing w:after="60"/>
      </w:pPr>
      <w:r>
        <w:t xml:space="preserve">1. Whether the authorship order works for you.</w:t>
      </w:r>
    </w:p>
    <w:p>
      <w:pPr>
        <w:ind w:left="360" w:hanging="360"/>
        <w:spacing w:after="60"/>
      </w:pPr>
      <w:r>
        <w:t xml:space="preserve">2. Whether Section 3.1 and Section 4.4 describe the pilot the way you actually ran it,</w:t>
      </w:r>
    </w:p>
    <w:p>
      <w:pPr>
        <w:spacing w:after="160" w:line="276" w:lineRule="auto"/>
      </w:pPr>
      <w:r>
        <w:t xml:space="preserve">   including how you coded outcomes. The draft is attached.</w:t>
      </w:r>
    </w:p>
    <w:p>
      <w:pPr>
        <w:ind w:left="360" w:hanging="360"/>
        <w:spacing w:after="60"/>
      </w:pPr>
      <w:r>
        <w:t xml:space="preserve">3. Whether you hold any financial or commercial interest in the Justification Review</w:t>
      </w:r>
    </w:p>
    <w:p>
      <w:pPr>
        <w:spacing w:after="160" w:line="276" w:lineRule="auto"/>
      </w:pPr>
      <w:r>
        <w:t xml:space="preserve">   Standard, and whether you received any funding for this work. The answer is almost</w:t>
      </w:r>
    </w:p>
    <w:p>
      <w:pPr>
        <w:spacing w:after="160" w:line="276" w:lineRule="auto"/>
      </w:pPr>
      <w:r>
        <w:t xml:space="preserve">   certainly no to both, but the journal requires each author to state it themselves and I</w:t>
      </w:r>
    </w:p>
    <w:p>
      <w:pPr>
        <w:spacing w:after="160" w:line="276" w:lineRule="auto"/>
      </w:pPr>
      <w:r>
        <w:t xml:space="preserve">   am not willing to write it on your behalf.</w:t>
      </w:r>
    </w:p>
    <w:p>
      <w:pPr>
        <w:spacing w:after="160" w:line="276" w:lineRule="auto"/>
      </w:pPr>
      <w:r>
        <w:t xml:space="preserve">Your written observations on what you noticed across these cases, the documentation</w:t>
      </w:r>
    </w:p>
    <w:p>
      <w:pPr>
        <w:spacing w:after="160" w:line="276" w:lineRule="auto"/>
      </w:pPr>
      <w:r>
        <w:t xml:space="preserve">features that tended to come before a challenge, are still very welcome and would go in the</w:t>
      </w:r>
    </w:p>
    <w:p>
      <w:pPr>
        <w:spacing w:after="160" w:line="276" w:lineRule="auto"/>
      </w:pPr>
      <w:r>
        <w:t xml:space="preserve">discussion in your own voice. They are not required for submission.</w:t>
      </w:r>
    </w:p>
    <w:p>
      <w:pPr>
        <w:spacing w:after="160" w:line="276" w:lineRule="auto"/>
      </w:pPr>
      <w:r>
        <w:t xml:space="preserve">Thank you for the care you put into this. Twenty-two adjudicated matters read one at a time</w:t>
      </w:r>
    </w:p>
    <w:p>
      <w:pPr>
        <w:spacing w:after="160" w:line="276" w:lineRule="auto"/>
      </w:pPr>
      <w:r>
        <w:t xml:space="preserve">from the record alone is slow, unglamorous work, and it is the part of this programme that</w:t>
      </w:r>
    </w:p>
    <w:p>
      <w:pPr>
        <w:spacing w:after="160" w:line="276" w:lineRule="auto"/>
      </w:pPr>
      <w:r>
        <w:t xml:space="preserve">touches real cases.</w:t>
      </w:r>
    </w:p>
    <w:p>
      <w:pPr>
        <w:spacing w:after="160" w:line="276" w:lineRule="auto"/>
      </w:pPr>
      <w:r>
        <w:t xml:space="preserve">Best,</w:t>
      </w:r>
    </w:p>
    <w:p>
      <w:pPr>
        <w:spacing w:after="160" w:line="276" w:lineRule="auto"/>
      </w:pPr>
      <w:r>
        <w:t xml:space="preserve">Phillip</w:t>
      </w:r>
    </w:p>
    <w:p>
      <w:pPr>
        <w:spacing w:after="160" w:line="276" w:lineRule="auto"/>
      </w:pPr>
      <w:r>
        <w:t xml:space="preserve">```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Notes for Phillip, not part of the message</w:t>
      </w:r>
    </w:p>
    <w:p>
      <w:pPr>
        <w:spacing w:after="160" w:line="276" w:lineRule="auto"/>
      </w:pPr>
      <w:r>
        <w:rPr>
          <w:b/>
        </w:rPr>
        <w:t xml:space="preserve">On telling her to stop.</w:t>
      </w:r>
      <w:r>
        <w:t xml:space="preserve"> She offered more cases on 20 August and has not delivered them.</w:t>
      </w:r>
    </w:p>
    <w:p>
      <w:pPr>
        <w:spacing w:after="160" w:line="276" w:lineRule="auto"/>
      </w:pPr>
      <w:r>
        <w:t xml:space="preserve">Reopening a closed corpus after the analysis is known is a worse defect than n=22, and</w:t>
      </w:r>
    </w:p>
    <w:p>
      <w:pPr>
        <w:spacing w:after="160" w:line="276" w:lineRule="auto"/>
      </w:pPr>
      <w:r>
        <w:t xml:space="preserve">`BusinessEthics_Findings_and_Strategy_2026-08-21.md` already records that. The message</w:t>
      </w:r>
    </w:p>
    <w:p>
      <w:pPr>
        <w:spacing w:after="160" w:line="276" w:lineRule="auto"/>
      </w:pPr>
      <w:r>
        <w:t xml:space="preserve">releases her from the offer clearly so it does not sit as an unfinished obligation.</w:t>
      </w:r>
    </w:p>
    <w:p>
      <w:pPr>
        <w:spacing w:after="160" w:line="276" w:lineRule="auto"/>
      </w:pPr>
      <w:r>
        <w:rPr>
          <w:b/>
        </w:rPr>
        <w:t xml:space="preserve">On disclosing the dual role to her directly.</w:t>
      </w:r>
      <w:r>
        <w:t xml:space="preserve"> She is second author on a paper whose</w:t>
      </w:r>
    </w:p>
    <w:p>
      <w:pPr>
        <w:spacing w:after="160" w:line="276" w:lineRule="auto"/>
      </w:pPr>
      <w:r>
        <w:t xml:space="preserve">principal design weakness attaches to how her data was collected. She should hear it from</w:t>
      </w:r>
    </w:p>
    <w:p>
      <w:pPr>
        <w:spacing w:after="160" w:line="276" w:lineRule="auto"/>
      </w:pPr>
      <w:r>
        <w:t xml:space="preserve">you, and the message assigns the fault to the protocol rather than to her, which is accurate.</w:t>
      </w:r>
    </w:p>
    <w:p>
      <w:pPr>
        <w:spacing w:after="160" w:line="276" w:lineRule="auto"/>
      </w:pPr>
      <w:r>
        <w:rPr>
          <w:b/>
        </w:rPr>
        <w:t xml:space="preserve">On the financial-interest question.</w:t>
      </w:r>
      <w:r>
        <w:t xml:space="preserve"> Do not answer it for her. The manuscript carries a</w:t>
      </w:r>
    </w:p>
    <w:p>
      <w:pPr>
        <w:spacing w:after="160" w:line="276" w:lineRule="auto"/>
      </w:pPr>
      <w:r>
        <w:t xml:space="preserve">fail-closed stub for exactly this and it stays until all three co-authors reply in their</w:t>
      </w:r>
    </w:p>
    <w:p>
      <w:pPr>
        <w:spacing w:after="160" w:line="276" w:lineRule="auto"/>
      </w:pPr>
      <w:r>
        <w:t xml:space="preserve">own words.</w:t>
      </w:r>
    </w:p>
    <w:p>
      <w:pPr>
        <w:spacing w:after="160" w:line="276" w:lineRule="auto"/>
      </w:pPr>
      <w:r>
        <w:rPr>
          <w:b/>
        </w:rPr>
        <w:t xml:space="preserve">Attach:</w:t>
      </w:r>
      <w:r>
        <w:t xml:space="preserve"> `CrossDomain_Validation_Manuscript_2026-08-21.docx`.</w:t>
      </w:r>
    </w:p>
    <w:p>
      <w:pPr>
        <w:spacing w:after="160" w:line="276" w:lineRule="auto"/>
      </w:pPr>
      <w:r>
        <w:rPr>
          <w:b/>
        </w:rPr>
        <w:t xml:space="preserve">Do not attach</w:t>
      </w:r>
      <w:r>
        <w:t xml:space="preserve"> the submission memo, the strategy memo, or any change log.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