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Reply to Stacy Young, 2026-08-08</w:t>
      </w:r>
    </w:p>
    <w:p>
      <w:pPr>
        <w:spacing w:after="140"/>
      </w:pPr>
      <w:r>
        <w:rPr>
          <w:b/>
        </w:rPr>
        <w:t xml:space="preserve">Status: draft for Phillip to send. Not sent.</w:t>
      </w:r>
    </w:p>
    <w:p>
      <w:pPr>
        <w:spacing w:after="140"/>
      </w:pPr>
      <w:r>
        <w:rPr>
          <w:b/>
        </w:rPr>
        <w:t xml:space="preserve">What is left to send:</w:t>
      </w:r>
      <w:r>
        <w:t xml:space="preserve"> the honor materials only. The Council drafts have already gone to her. She already has the manuscript. Her line about the blind review is agreement, not a request.</w:t>
      </w:r>
    </w:p>
    <w:p>
      <w:pPr>
        <w:pBdr>
          <w:bottom w:val="single" w:sz="6" w:space="1" w:color="AAAAAA"/>
        </w:pBdr>
      </w:pPr>
    </w:p>
    <w:p>
      <w:pPr>
        <w:spacing w:after="140"/>
      </w:pPr>
      <w:r>
        <w:t xml:space="preserve">Stacyann,</w:t>
      </w:r>
    </w:p>
    <w:p>
      <w:pPr>
        <w:spacing w:after="140"/>
      </w:pPr>
      <w:r>
        <w:t xml:space="preserve">Here are the honor materials, to go with the Council drafts you already have.</w:t>
      </w:r>
    </w:p>
    <w:p>
      <w:pPr>
        <w:spacing w:after="140"/>
      </w:pPr>
      <w:r>
        <w:t xml:space="preserve">The citation is in there word for word, with a table showing where every factual claim in it comes from, what the acceptance page asks you, and what would become public and what never would. A draft certificate in your name is attached so you can see it rather than picture it. If any of the citation reads as overstated, say so and it changes.</w:t>
      </w:r>
    </w:p>
    <w:p>
      <w:pPr>
        <w:spacing w:after="140"/>
      </w:pPr>
      <w:r>
        <w:t xml:space="preserve">There is also a short section on agency clearance, in case HPD or the Conflicts of Interest Board would want to look at it. No money moves in either direction, this project has never held a contract with the City, and your title does not have to appear at all if your agency would rather it did not. If clearance takes time, take the time.</w:t>
      </w:r>
    </w:p>
    <w:p>
      <w:pPr>
        <w:spacing w:after="140"/>
      </w:pPr>
      <w:r>
        <w:t xml:space="preserve">Nothing is submitted, issued, or published until you have approved the manuscript, the Council notes, and the honor separately.</w:t>
      </w:r>
    </w:p>
    <w:p>
      <w:pPr>
        <w:spacing w:after="140"/>
      </w:pPr>
      <w:r>
        <w:t xml:space="preserve">Phillip</w:t>
      </w:r>
    </w:p>
    <w:p>
      <w:pPr>
        <w:pBdr>
          <w:bottom w:val="single" w:sz="6" w:space="1" w:color="AAAAAA"/>
        </w:pBdr>
      </w:pPr>
    </w:p>
    <w:p>
      <w:pPr>
        <w:pStyle w:val="Heading2"/>
        <w:spacing w:after="140"/>
      </w:pPr>
      <w:r>
        <w:t xml:space="preserve">Attachments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Why it is going</w:t>
            </w:r>
          </w:p>
        </w:tc>
      </w:tr>
      <w:tr>
        <w:tc>
          <w:tcPr>
            <w:tcW w:w="4680" w:type="dxa"/>
          </w:tcPr>
          <w:p>
            <w:pPr>
              <w:spacing w:after="0"/>
            </w:pPr>
            <w:r>
              <w:rPr>
                <w:rFonts w:ascii="Consolas" w:hAnsi="Consolas"/>
              </w:rPr>
              <w:t xml:space="preserve">Honor_Materials_For_Stacy_Review_2026-08-08.docx</w:t>
            </w:r>
          </w:p>
        </w:tc>
        <w:tc>
          <w:tcPr>
            <w:tcW w:w="4680" w:type="dxa"/>
          </w:tcPr>
          <w:p>
            <w:pPr>
              <w:spacing w:after="0"/>
            </w:pPr>
            <w:r>
              <w:t xml:space="preserve">She asked for the honor materials. This is the only outstanding item</w:t>
            </w:r>
          </w:p>
        </w:tc>
      </w:tr>
      <w:tr>
        <w:tc>
          <w:tcPr>
            <w:tcW w:w="4680" w:type="dxa"/>
          </w:tcPr>
          <w:p>
            <w:pPr>
              <w:spacing w:after="0"/>
            </w:pPr>
            <w:r>
              <w:rPr>
                <w:rFonts w:ascii="Consolas" w:hAnsi="Consolas"/>
              </w:rPr>
              <w:t xml:space="preserve">DRAFT_Honor_Certificate_Stacy_Young.pdf</w:t>
            </w:r>
          </w:p>
        </w:tc>
        <w:tc>
          <w:tcPr>
            <w:tcW w:w="4680" w:type="dxa"/>
          </w:tcPr>
          <w:p>
            <w:pPr>
              <w:spacing w:after="0"/>
            </w:pPr>
            <w:r>
              <w:t xml:space="preserve">Part of the honor materials; she should see it, not imagine it</w:t>
            </w:r>
          </w:p>
        </w:tc>
      </w:tr>
    </w:tbl>
    <w:p>
      <w:pPr/>
      <w:r>
        <w:t/>
      </w:r>
    </w:p>
    <w:p>
      <w:pPr>
        <w:pStyle w:val="Heading2"/>
        <w:spacing w:after="140"/>
      </w:pPr>
      <w:r>
        <w:t xml:space="preserve">Not going with this message, and why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Reason held</w:t>
            </w:r>
          </w:p>
        </w:tc>
      </w:tr>
      <w:tr>
        <w:tc>
          <w:tcPr>
            <w:tcW w:w="4680" w:type="dxa"/>
          </w:tcPr>
          <w:p>
            <w:pPr>
              <w:spacing w:after="0"/>
            </w:pPr>
            <w:r>
              <w:rPr>
                <w:rFonts w:ascii="Consolas" w:hAnsi="Consolas"/>
              </w:rPr>
              <w:t xml:space="preserve">CFOC_Submission_2026-08-08.docx</w:t>
            </w:r>
          </w:p>
        </w:tc>
        <w:tc>
          <w:tcPr>
            <w:tcW w:w="4680" w:type="dxa"/>
          </w:tcPr>
          <w:p>
            <w:pPr>
              <w:spacing w:after="0"/>
            </w:pPr>
            <w:r>
              <w:t xml:space="preserve">Already sent to her</w:t>
            </w:r>
          </w:p>
        </w:tc>
      </w:tr>
      <w:tr>
        <w:tc>
          <w:tcPr>
            <w:tcW w:w="4680" w:type="dxa"/>
          </w:tcPr>
          <w:p>
            <w:pPr>
              <w:spacing w:after="0"/>
            </w:pPr>
            <w:r>
              <w:rPr>
                <w:rFonts w:ascii="Consolas" w:hAnsi="Consolas"/>
              </w:rPr>
              <w:t xml:space="preserve">FOIL_Article_Draft.docx</w:t>
            </w:r>
          </w:p>
        </w:tc>
        <w:tc>
          <w:tcPr>
            <w:tcW w:w="4680" w:type="dxa"/>
          </w:tcPr>
          <w:p>
            <w:pPr>
              <w:spacing w:after="0"/>
            </w:pPr>
            <w:r>
              <w:t xml:space="preserve">She already has it and is reading it</w:t>
            </w:r>
          </w:p>
        </w:tc>
      </w:tr>
      <w:tr>
        <w:tc>
          <w:tcPr>
            <w:tcW w:w="4680" w:type="dxa"/>
          </w:tcPr>
          <w:p>
            <w:pPr>
              <w:spacing w:after="0"/>
            </w:pPr>
            <w:r>
              <w:rPr>
                <w:rFonts w:ascii="Consolas" w:hAnsi="Consolas"/>
              </w:rPr>
              <w:t xml:space="preserve">Blind_Recheck_Packet_E08.docx</w:t>
            </w:r>
          </w:p>
        </w:tc>
        <w:tc>
          <w:tcPr>
            <w:tcW w:w="4680" w:type="dxa"/>
          </w:tcPr>
          <w:p>
            <w:pPr>
              <w:spacing w:after="0"/>
            </w:pPr>
            <w:r>
              <w:t xml:space="preserve">Goes to the second reader she names, not to her</w:t>
            </w:r>
          </w:p>
        </w:tc>
      </w:tr>
      <w:tr>
        <w:tc>
          <w:tcPr>
            <w:tcW w:w="4680" w:type="dxa"/>
          </w:tcPr>
          <w:p>
            <w:pPr>
              <w:spacing w:after="0"/>
            </w:pPr>
            <w:r>
              <w:rPr>
                <w:rFonts w:ascii="Consolas" w:hAnsi="Consolas"/>
              </w:rPr>
              <w:t xml:space="preserve">Blind_Recheck_KEY_E08.md</w:t>
            </w:r>
          </w:p>
        </w:tc>
        <w:tc>
          <w:tcPr>
            <w:tcW w:w="4680" w:type="dxa"/>
          </w:tcPr>
          <w:p>
            <w:pPr>
              <w:spacing w:after="0"/>
            </w:pPr>
            <w:r>
              <w:t xml:space="preserve">Never sent to anyone. Contains the original reads and outcomes</w:t>
            </w:r>
          </w:p>
        </w:tc>
      </w:tr>
      <w:tr>
        <w:tc>
          <w:tcPr>
            <w:tcW w:w="4680" w:type="dxa"/>
          </w:tcPr>
          <w:p>
            <w:pPr>
              <w:spacing w:after="0"/>
            </w:pPr>
            <w:r>
              <w:t xml:space="preserve">Notes on Section 5.5 and the 28-of-32 count</w:t>
            </w:r>
          </w:p>
        </w:tc>
        <w:tc>
          <w:tcPr>
            <w:tcW w:w="4680" w:type="dxa"/>
          </w:tcPr>
          <w:p>
            <w:pPr>
              <w:spacing w:after="0"/>
            </w:pPr>
            <w:r>
              <w:t xml:space="preserve">Raise these only if she asks about them in her review. She said she would read carefully; pre-empting that reads as steering her review</w:t>
            </w:r>
          </w:p>
        </w:tc>
      </w:tr>
    </w:tbl>
    <w:p>
      <w:pPr/>
      <w:r>
        <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