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pStyle w:val="Heading1"/>
        <w:spacing w:after="120"/>
      </w:pPr>
      <w:r>
        <w:t xml:space="preserve">Documentation Reviewability as a Measurable Record Property: Convergent, Construct, Discriminant and Criterion Evidence from 54 Adjudicated Records Across Two Domains</w:t>
      </w:r>
    </w:p>
    <w:p>
      <w:pPr>
        <w:spacing w:after="160" w:line="276" w:lineRule="auto"/>
      </w:pPr>
      <w:r>
        <w:rPr>
          <w:b/>
        </w:rPr>
        <w:t xml:space="preserve">Working draft. Target: Records Management Journal (Emerald), subscription route.</w:t>
      </w:r>
    </w:p>
    <w:p>
      <w:pPr>
        <w:spacing w:after="160" w:line="276" w:lineRule="auto"/>
      </w:pPr>
      <w:r>
        <w:rPr>
          <w:b/>
        </w:rPr>
        <w:t xml:space="preserve">Stacyann Young</w:t>
      </w:r>
    </w:p>
    <w:p>
      <w:pPr>
        <w:spacing w:after="160" w:line="276" w:lineRule="auto"/>
      </w:pPr>
      <w:r>
        <w:t xml:space="preserve">Independent Researcher</w:t>
      </w:r>
    </w:p>
    <w:p>
      <w:pPr>
        <w:spacing w:after="160" w:line="276" w:lineRule="auto"/>
      </w:pPr>
      <w:r>
        <w:rPr>
          <w:b/>
        </w:rPr>
        <w:t xml:space="preserve">Tanvi Pokhriyal</w:t>
      </w:r>
    </w:p>
    <w:p>
      <w:pPr>
        <w:spacing w:after="160" w:line="276" w:lineRule="auto"/>
      </w:pPr>
      <w:r>
        <w:t xml:space="preserve">Human Resources Manager, REIL Innovative Solutions</w:t>
      </w:r>
    </w:p>
    <w:p>
      <w:pPr>
        <w:spacing w:after="160" w:line="276" w:lineRule="auto"/>
      </w:pPr>
      <w:r>
        <w:rPr>
          <w:b/>
        </w:rPr>
        <w:t xml:space="preserve">Ubayet Hossain, FRM</w:t>
      </w:r>
    </w:p>
    <w:p>
      <w:pPr>
        <w:spacing w:after="160" w:line="276" w:lineRule="auto"/>
      </w:pPr>
      <w:r>
        <w:t xml:space="preserve">Associate Director, Model Validation, KPMG India</w:t>
      </w:r>
    </w:p>
    <w:p>
      <w:pPr>
        <w:spacing w:after="160" w:line="276" w:lineRule="auto"/>
      </w:pPr>
      <w:r>
        <w:rPr>
          <w:b/>
        </w:rPr>
        <w:t xml:space="preserve">Phillip Wikes</w:t>
      </w:r>
    </w:p>
    <w:p>
      <w:pPr>
        <w:spacing w:after="160" w:line="276" w:lineRule="auto"/>
      </w:pPr>
      <w:r>
        <w:t xml:space="preserve">Senior author. Creator of the Justification Review Standard; former Lead Civil Rights Officer, Maryland Commission on Civil Rights</w:t>
      </w:r>
    </w:p>
    <w:p>
      <w:pPr>
        <w:spacing w:after="160" w:line="276" w:lineRule="auto"/>
      </w:pPr>
      <w:r>
        <w:rPr>
          <w:b/>
        </w:rPr>
        <w:t xml:space="preserve">Author contributions.</w:t>
      </w:r>
      <w:r>
        <w:t xml:space="preserve"> S.Y. designed the public-records case protocol, selected and screened all 32 determinations, recorded each read and its contemporaneous basis note before the documented outcome was consulted, and recorded the outcomes and citations. T.P. designed the employment case protocol, selected and screened all 22 adjudicated matters, and recorded each read before the documented outcome was consulted, and the outcomes afterwards. </w:t>
      </w:r>
      <w:r>
        <w:rPr>
          <w:b/>
        </w:rPr>
        <w:t xml:space="preserve">The two corpora were built independently, by reviewers who did not confer, in different domains, on different jurisdictions, at overlapping times.</w:t>
      </w:r>
      <w:r>
        <w:t xml:space="preserve"> U.H. designed the validation methodology: the reference-panel design, the chance-corrected agreement framework, and the acceptance floors fixed in advance of analysis. P.W. developed the review standard and the Decision Reconstruction Risk construct, specified the pooled analysis, ran every test reported here, and prepared the manuscript.</w:t>
      </w:r>
    </w:p>
    <w:p>
      <w:pPr>
        <w:spacing w:after="160" w:line="276" w:lineRule="auto"/>
      </w:pPr>
      <w:r>
        <w:rPr>
          <w:b/>
        </w:rPr>
        <w:t xml:space="preserve">Competing interests.</w:t>
      </w:r>
      <w:r>
        <w:t xml:space="preserve"> P.W. created the instrument evaluated here and is an interested party in its evaluation. </w:t>
      </w:r>
      <w:r>
        <w:rPr>
          <w:b/>
        </w:rPr>
        <w:t xml:space="preserve">He read no record in either corpus and recorded no read and no outcome.</w:t>
      </w:r>
      <w:r>
        <w:t xml:space="preserve"> S.Y. conducted her work voluntarily and independently, on public materials, and is named without institutional affiliation at her request. Both domain reviewers contribute in a personal professional capacity; the views expressed are the authors' own and do not represent the position of any employer or institution.</w:t>
      </w:r>
    </w:p>
    <w:p>
      <w:pPr>
        <w:spacing w:after="160" w:line="276" w:lineRule="auto"/>
      </w:pPr>
      <w:r>
        <w:t xml:space="preserve">[REQUIRED_ENV_PARAM: co-author declarations. S.Y., T.P. and U.H. must each confirm in writing whether they hold any financial or commercial interest in the Justification Review Standard, and any funding received. These are not assumed here. Replace this block with their confirmed declarations before submission.]</w:t>
      </w:r>
    </w:p>
    <w:p>
      <w:pPr>
        <w:pBdr>
          <w:bottom w:val="single" w:sz="6" w:space="1" w:color="BFBFBF"/>
        </w:pBdr>
      </w:pPr>
    </w:p>
    <w:p>
      <w:pPr>
        <w:pStyle w:val="Heading2"/>
        <w:spacing w:before="360" w:after="120"/>
      </w:pPr>
      <w:r>
        <w:t xml:space="preserve">Abstract</w:t>
      </w:r>
    </w:p>
    <w:p>
      <w:pPr>
        <w:spacing w:after="160" w:line="276" w:lineRule="auto"/>
      </w:pPr>
      <w:r>
        <w:rPr>
          <w:b/>
        </w:rPr>
        <w:t xml:space="preserve">Purpose</w:t>
      </w:r>
      <w:r>
        <w:t xml:space="preserve"> – To test whether a structured read of a record's reviewability, recorded before the outcome is known, behaves as a measurable property of the record across independent reviewers and domains.</w:t>
      </w:r>
    </w:p>
    <w:p>
      <w:pPr>
        <w:spacing w:after="160" w:line="276" w:lineRule="auto"/>
      </w:pPr>
      <w:r>
        <w:rPr>
          <w:b/>
        </w:rPr>
        <w:t xml:space="preserve">Design/methodology/approach</w:t>
      </w:r>
      <w:r>
        <w:t xml:space="preserve"> – Fifty-four adjudicated records from 54 distinct sources, assembled independently by two reviewers who did not confer: 32 public-records determinations and 22 employment matters across three jurisdictional systems. Each was read against five conditions from the source alone, with the read fixed before the outcome was consulted.</w:t>
      </w:r>
    </w:p>
    <w:p>
      <w:pPr>
        <w:spacing w:after="160" w:line="276" w:lineRule="auto"/>
      </w:pPr>
      <w:r>
        <w:rPr>
          <w:b/>
        </w:rPr>
        <w:t xml:space="preserve">Findings</w:t>
      </w:r>
      <w:r>
        <w:t xml:space="preserve"> – Convergent: where a Comptroller had independently audited the same records, read and auditor agreed 5 of 5 (p = 0.031). Construct: basis notes state a reconstructability failure in 6 of 9 incomplete reads against 0 of 18 complete (p = 0.0003). Discriminant: sources reproducing the determination text read complete in 6 of 7 against 0 of 7 assessed in camera (p = 0.00466). Criterion, pooled: incomplete reads drew an adverse finding in 17 of 23 against 12 of 31 (p = 0.0139, OR 4.20), with no heterogeneity between the two domains (Woolf p = 0.110).</w:t>
      </w:r>
    </w:p>
    <w:p>
      <w:pPr>
        <w:spacing w:after="160" w:line="276" w:lineRule="auto"/>
      </w:pPr>
      <w:r>
        <w:rPr>
          <w:b/>
        </w:rPr>
        <w:t xml:space="preserve">Research limitations/implications</w:t>
      </w:r>
      <w:r>
        <w:t xml:space="preserve"> – Each corpus was read by one reviewer who also recorded its outcomes, so reads are not independent of outcome assignment. Cases were selected, not sampled. No analysis plan fixed a primary outcome coding. No causal claim is supported.</w:t>
      </w:r>
    </w:p>
    <w:p>
      <w:pPr>
        <w:spacing w:after="160" w:line="276" w:lineRule="auto"/>
      </w:pPr>
      <w:r>
        <w:rPr>
          <w:b/>
        </w:rPr>
        <w:t xml:space="preserve">Originality/value</w:t>
      </w:r>
      <w:r>
        <w:t xml:space="preserve"> – Documentation reviewability behaves consistently as a record property across two unrelated domains and two independent reviewers.</w:t>
      </w:r>
    </w:p>
    <w:p>
      <w:pPr>
        <w:spacing w:after="160" w:line="276" w:lineRule="auto"/>
      </w:pPr>
      <w:r>
        <w:rPr>
          <w:b/>
        </w:rPr>
        <w:t xml:space="preserve">Keywords</w:t>
      </w:r>
      <w:r>
        <w:t xml:space="preserve"> Records management, documentation quality, evidentiary sufficiency, construct validity</w:t>
      </w:r>
    </w:p>
    <w:p>
      <w:pPr>
        <w:spacing w:after="160" w:line="276" w:lineRule="auto"/>
      </w:pPr>
      <w:r>
        <w:rPr>
          <w:b/>
        </w:rPr>
        <w:t xml:space="preserve">Article classification</w:t>
      </w:r>
      <w:r>
        <w:t xml:space="preserve"> Research paper</w:t>
      </w:r>
    </w:p>
    <w:p>
      <w:pPr>
        <w:pBdr>
          <w:bottom w:val="single" w:sz="6" w:space="1" w:color="BFBFBF"/>
        </w:pBdr>
      </w:pPr>
    </w:p>
    <w:p>
      <w:pPr>
        <w:pStyle w:val="Heading2"/>
        <w:spacing w:before="360" w:after="120"/>
      </w:pPr>
      <w:r>
        <w:t xml:space="preserve">1. Introduction</w:t>
      </w:r>
    </w:p>
    <w:p>
      <w:pPr>
        <w:spacing w:after="160" w:line="276" w:lineRule="auto"/>
      </w:pPr>
      <w:r>
        <w:t xml:space="preserve">A record makes a promise to whoever reads it later: that a decision was made for reasons someone can go back and examine. Whether that promise holds is usually treated as a matter of judgment, discovered only when a file is tested in an appeal, an audit or a dispute.</w:t>
      </w:r>
    </w:p>
    <w:p>
      <w:pPr>
        <w:spacing w:after="160" w:line="276" w:lineRule="auto"/>
      </w:pPr>
      <w:r>
        <w:t xml:space="preserve">This paper treats it as a measurable property instead. The question is narrow and it is not about outcomes: can a later, independent reviewer rebuild how a conclusion was reached from the record alone? The condition in which they cannot is named here Decision Reconstruction Risk.</w:t>
      </w:r>
    </w:p>
    <w:p>
      <w:pPr>
        <w:spacing w:after="160" w:line="276" w:lineRule="auto"/>
      </w:pPr>
      <w:r>
        <w:t xml:space="preserve">Measuring a property requires more than showing that a score correlates with something. It requires showing that the score agrees with an independent instrument assessing the same thing, that it is driven by the property it claims to measure, that it separates cases on a structural feature rather than on the reviewer's mood, and that it does not correlate with things it should not. This paper reports all four, on 54 records assembled by two reviewers who did not confer.</w:t>
      </w:r>
    </w:p>
    <w:p>
      <w:pPr>
        <w:pStyle w:val="Heading2"/>
        <w:spacing w:before="360" w:after="120"/>
      </w:pPr>
      <w:r>
        <w:t xml:space="preserve">2. The instrument</w:t>
      </w:r>
    </w:p>
    <w:p>
      <w:pPr>
        <w:spacing w:after="160" w:line="276" w:lineRule="auto"/>
      </w:pPr>
      <w:r>
        <w:t xml:space="preserve">The Justification Review Standard asks one question of a record: can a later, independent reviewer rebuild how the conclusion was reached from the record alone? Five conditions carry that question. Reconstructability, whether the conclusion can be rebuilt from the record alone. Basis identification, whether the source of each characterization is identifiable. Chronological integrity, whether dates, sequence and sources hold together when read cold. Decision-process traceability, whether the reasoning from evidence to conclusion can be followed and the responsible parties identified. Evidentiary sufficiency, whether the record carries enough to support the weight of the decision.</w:t>
      </w:r>
    </w:p>
    <w:p>
      <w:pPr>
        <w:spacing w:after="160" w:line="276" w:lineRule="auto"/>
      </w:pPr>
      <w:r>
        <w:t xml:space="preserve">The conditions resolve to a three-level read. Ready, where a later reviewer could rebuild the conclusion from the record alone. Needs work, where the record is partly reconstructable with visible gaps. Gap, where the basis is not visible in the record at all.</w:t>
      </w:r>
    </w:p>
    <w:p>
      <w:pPr>
        <w:spacing w:after="160" w:line="276" w:lineRule="auto"/>
      </w:pPr>
      <w:r>
        <w:rPr>
          <w:b/>
        </w:rPr>
        <w:t xml:space="preserve">The determination is a deterministic function of the five conditions.</w:t>
      </w:r>
      <w:r>
        <w:t xml:space="preserve"> Where all five pass the read is Ready; where any condition is unmet the read is lowered accordingly. This is a property of the instrument's design and it is stated here because it bounds what can be claimed: the conditions and the determination are not independent measurements, and no analysis in this paper treats one as evidence for the other.</w:t>
      </w:r>
    </w:p>
    <w:p>
      <w:pPr>
        <w:pStyle w:val="Heading2"/>
        <w:spacing w:before="360" w:after="120"/>
      </w:pPr>
      <w:r>
        <w:t xml:space="preserve">3. Method</w:t>
      </w:r>
    </w:p>
    <w:p>
      <w:pPr>
        <w:spacing w:after="160" w:line="276" w:lineRule="auto"/>
      </w:pPr>
      <w:r>
        <w:t xml:space="preserve">### 3.1 Two corpora, built independently</w:t>
      </w:r>
    </w:p>
    <w:p>
      <w:pPr>
        <w:spacing w:after="160" w:line="276" w:lineRule="auto"/>
      </w:pPr>
      <w:r>
        <w:t xml:space="preserve">The public-records corpus is 32 determinations from 32 distinct public sources, collected 26 June to 8 August 2026, spanning decisions issued between 2005 and 2026 across eleven distinct years. Four document classes: New York appellate and trial-level decisions (n = 18), New York Committee on Open Government advisory opinions (n = 7), Connecticut Freedom of Information Commission final decisions (n = 2), and compliance audits issued by the New York State and New York City Comptrollers (n = 5). At least twelve distinct freedom-of-information issues appear across the set.</w:t>
      </w:r>
    </w:p>
    <w:p>
      <w:pPr>
        <w:spacing w:after="160" w:line="276" w:lineRule="auto"/>
      </w:pPr>
      <w:r>
        <w:t xml:space="preserve">The employment corpus is 22 adjudicated employment and labour matters from 22 distinct public sources, collected 22 June to 29 July 2026, across three jurisdictional systems: United States Supreme Court decisions, United States Federal Labor Relations Authority decisions, and United Kingdom Employment Tribunal judgments.</w:t>
      </w:r>
    </w:p>
    <w:p>
      <w:pPr>
        <w:spacing w:after="160" w:line="276" w:lineRule="auto"/>
      </w:pPr>
      <w:r>
        <w:rPr>
          <w:b/>
        </w:rPr>
        <w:t xml:space="preserve">The two corpora share no source, no reviewer and no jurisdiction.</w:t>
      </w:r>
      <w:r>
        <w:t xml:space="preserve"> Neither reviewer saw the other's cases or reads. That independence is what makes the pooled analysis in Section 4.4 worth running: it is a replication across domains rather than a larger sample of the same thing.</w:t>
      </w:r>
    </w:p>
    <w:p>
      <w:pPr>
        <w:spacing w:after="160" w:line="276" w:lineRule="auto"/>
      </w:pPr>
      <w:r>
        <w:t xml:space="preserve">### 3.2 Reading procedure</w:t>
      </w:r>
    </w:p>
    <w:p>
      <w:pPr>
        <w:spacing w:after="160" w:line="276" w:lineRule="auto"/>
      </w:pPr>
      <w:r>
        <w:t xml:space="preserve">In both corpora the read was recorded first, from the source alone, before the documented outcome was consulted. In the public-records corpus each read also carries a contemporaneous basis note written at the same moment, giving the reason for the read. Outcomes and citations were recorded afterwards. Public material only. No outcome is inferred; each traces to the public record.</w:t>
      </w:r>
    </w:p>
    <w:p>
      <w:pPr>
        <w:spacing w:after="160" w:line="276" w:lineRule="auto"/>
      </w:pPr>
      <w:r>
        <w:rPr>
          <w:b/>
        </w:rPr>
        <w:t xml:space="preserve">One reviewer performed both steps in each corpus, and the two roles were not separated.</w:t>
      </w:r>
      <w:r>
        <w:t xml:space="preserve"> The separation is temporal, the read is fixed before the outcome is consulted, and it is not a separation of people. This is the principal limitation of the design and it is stated here rather than only in Section 6.</w:t>
      </w:r>
    </w:p>
    <w:p>
      <w:pPr>
        <w:spacing w:after="160" w:line="276" w:lineRule="auto"/>
      </w:pPr>
      <w:r>
        <w:t xml:space="preserve">### 3.3 Outcome coding</w:t>
      </w:r>
    </w:p>
    <w:p>
      <w:pPr>
        <w:spacing w:after="160" w:line="276" w:lineRule="auto"/>
      </w:pPr>
      <w:r>
        <w:t xml:space="preserve">Outcomes are coded from the cited source in four categories: the determination or matter was sustained; it did not survive review; it was contested with no resolved disposition recorded; or an auditor recorded an adverse finding about the agency's records. For the criterion analysis, an adverse finding means the matter did not survive review or drew an adverse audit finding.</w:t>
      </w:r>
    </w:p>
    <w:p>
      <w:pPr>
        <w:spacing w:after="160" w:line="276" w:lineRule="auto"/>
      </w:pPr>
      <w:r>
        <w:rPr>
          <w:b/>
        </w:rPr>
        <w:t xml:space="preserve">No analysis plan fixing a primary outcome coding was recorded before either corpus closed, and none is claimed.</w:t>
      </w:r>
      <w:r>
        <w:t xml:space="preserve"> The coding above was specified after the data were complete. Section 4.5 reports what happens under the alternatives.</w:t>
      </w:r>
    </w:p>
    <w:p>
      <w:pPr>
        <w:spacing w:after="160" w:line="276" w:lineRule="auto"/>
      </w:pPr>
      <w:r>
        <w:t xml:space="preserve">### 3.4 Analyses</w:t>
      </w:r>
    </w:p>
    <w:p>
      <w:pPr>
        <w:spacing w:after="160" w:line="276" w:lineRule="auto"/>
      </w:pPr>
      <w:r>
        <w:t xml:space="preserve">Four validity questions, in the order reported: convergent, construct, discriminant, criterion. A specification check follows. All tests are Fisher's exact, two-sided. Intervals are Wilson score intervals, used because the cells are small. Odds ratios carry the Haldane correction where a cell is zero and this is marked. Homogeneity across domains is tested with the Woolf statistic on the log odds ratios. Every figure is computed from the stored data by a standard-library script.</w:t>
      </w:r>
    </w:p>
    <w:p>
      <w:pPr>
        <w:pStyle w:val="Heading2"/>
        <w:spacing w:before="360" w:after="120"/>
      </w:pPr>
      <w:r>
        <w:t xml:space="preserve">4. Results</w:t>
      </w:r>
    </w:p>
    <w:p>
      <w:pPr>
        <w:spacing w:after="160" w:line="276" w:lineRule="auto"/>
      </w:pPr>
      <w:r>
        <w:t xml:space="preserve">### 4.1 Convergent validity: agreement with independent government auditors</w:t>
      </w:r>
    </w:p>
    <w:p>
      <w:pPr>
        <w:spacing w:after="160" w:line="276" w:lineRule="auto"/>
      </w:pPr>
      <w:r>
        <w:t xml:space="preserve">Five cases are compliance audits in which a state or city Comptroller had independently examined an agency's records programme, using their own methodology and with no knowledge of this study.</w:t>
      </w:r>
    </w:p>
    <w:p>
      <w:pPr>
        <w:spacing w:after="160" w:line="276" w:lineRule="auto"/>
      </w:pPr>
      <w:r>
        <w:t xml:space="preserve">All five received a Gap read, recorded from the source before the auditor's conclusion was consulted. In all five the auditor had separately recorded that the agency could not evidence its own responses. In the auditors' own terms: records of what had been provided were missing; request tracking was absent or incomplete; one agency supplied an email asserting records had been sent without the records themselves; and in two audits the auditor stated they could not determine with reasonable certainty whether the information necessary to complete the audit had been supplied at all.</w:t>
      </w:r>
    </w:p>
    <w:p>
      <w:pPr>
        <w:spacing w:after="160" w:line="276" w:lineRule="auto"/>
      </w:pPr>
      <w:r>
        <w:rPr>
          <w:b/>
        </w:rPr>
        <w:t xml:space="preserve">Concordance is five of five. Exact binomial against chance, p = 0.031; Wilson interval on 5 of 5, 56.6 to 100 percent.</w:t>
      </w:r>
    </w:p>
    <w:p>
      <w:pPr>
        <w:spacing w:after="160" w:line="276" w:lineRule="auto"/>
      </w:pPr>
      <w:r>
        <w:t xml:space="preserve">Two instruments built with no knowledge of each other, a documentation read applied to the source and a government audit applied to the programme, reached the same conclusion in every case where both were available. This is a concordance between instruments, not an association between groups, and five cases are five cases.</w:t>
      </w:r>
    </w:p>
    <w:p>
      <w:pPr>
        <w:spacing w:after="160" w:line="276" w:lineRule="auto"/>
      </w:pPr>
      <w:r>
        <w:t xml:space="preserve">### 4.2 Construct validity: the read is driven by reconstructability</w:t>
      </w:r>
    </w:p>
    <w:p>
      <w:pPr>
        <w:spacing w:after="160" w:line="276" w:lineRule="auto"/>
      </w:pPr>
      <w:r>
        <w:t xml:space="preserve">Every public-records read carries a contemporaneous note giving its basis, written before the outcome was known. Coding those notes for one question, whether the note states that the underlying record-level basis could not be rebuilt from the source, gives:</w:t>
      </w:r>
    </w:p>
    <w:p>
      <w:pPr>
        <w:spacing w:after="160" w:line="276" w:lineRule="auto"/>
      </w:pPr>
      <w:r>
        <w:t xml:space="preserve">| | Reconstructability failure stated | Not stated | Rate |</w:t>
      </w:r>
    </w:p>
    <w:p>
      <w:pPr>
        <w:spacing w:after="160" w:line="276" w:lineRule="auto"/>
      </w:pPr>
      <w:r>
        <w:t xml:space="preserve">|---|---|---|---|</w:t>
      </w:r>
    </w:p>
    <w:p>
      <w:pPr>
        <w:spacing w:after="160" w:line="276" w:lineRule="auto"/>
      </w:pPr>
      <w:r>
        <w:t xml:space="preserve">| Needs work (n = 9) | 6 | 3 | 66.7% |</w:t>
      </w:r>
    </w:p>
    <w:p>
      <w:pPr>
        <w:spacing w:after="160" w:line="276" w:lineRule="auto"/>
      </w:pPr>
      <w:r>
        <w:t xml:space="preserve">| Ready (n = 18) | 0 | 18 | 0.0% |</w:t>
      </w:r>
    </w:p>
    <w:p>
      <w:pPr>
        <w:spacing w:after="160" w:line="276" w:lineRule="auto"/>
      </w:pPr>
      <w:r>
        <w:rPr>
          <w:b/>
        </w:rPr>
        <w:t xml:space="preserve">Fisher's exact test, two-sided: p = 0.00028.</w:t>
      </w:r>
    </w:p>
    <w:p>
      <w:pPr>
        <w:spacing w:after="160" w:line="276" w:lineRule="auto"/>
      </w:pPr>
      <w:r>
        <w:t xml:space="preserve">No Needs work note contains an affirmative reconstructability statement, and no Ready note contains a reconstructability failure. The reads were driven by the presence or absence of a rebuildable basis, which is the property the instrument is built to detect, and not by who won or by what kind of case it was. </w:t>
      </w:r>
      <w:r>
        <w:rPr>
          <w:b/>
        </w:rPr>
        <w:t xml:space="preserve">The coding is post-hoc and is reported as construct evidence rather than as a confirmatory test.</w:t>
      </w:r>
      <w:r>
        <w:t xml:space="preserve"> The contemporaneous notes are what make it checkable by anyone re-reading the case set.</w:t>
      </w:r>
    </w:p>
    <w:p>
      <w:pPr>
        <w:spacing w:after="160" w:line="276" w:lineRule="auto"/>
      </w:pPr>
      <w:r>
        <w:t xml:space="preserve">### 4.3 Discriminant validity: the read responds to a structural feature of the source</w:t>
      </w:r>
    </w:p>
    <w:p>
      <w:pPr>
        <w:spacing w:after="160" w:line="276" w:lineRule="auto"/>
      </w:pPr>
      <w:r>
        <w:t xml:space="preserve">The same conclusion is reachable without relying on the reviewer's words, using a structural feature of each source: whether it reproduces the determination text or instead assessed the underlying records in camera or in aggregate.</w:t>
      </w:r>
    </w:p>
    <w:p>
      <w:pPr>
        <w:spacing w:after="160" w:line="276" w:lineRule="auto"/>
      </w:pPr>
      <w:r>
        <w:t xml:space="preserve">| | Ready | Not Ready |</w:t>
      </w:r>
    </w:p>
    <w:p>
      <w:pPr>
        <w:spacing w:after="160" w:line="276" w:lineRule="auto"/>
      </w:pPr>
      <w:r>
        <w:t xml:space="preserve">|---|---|---|</w:t>
      </w:r>
    </w:p>
    <w:p>
      <w:pPr>
        <w:spacing w:after="160" w:line="276" w:lineRule="auto"/>
      </w:pPr>
      <w:r>
        <w:t xml:space="preserve">| Reproduces the determination text (n = 7) | 6 | 1 |</w:t>
      </w:r>
    </w:p>
    <w:p>
      <w:pPr>
        <w:spacing w:after="160" w:line="276" w:lineRule="auto"/>
      </w:pPr>
      <w:r>
        <w:t xml:space="preserve">| Assessed the records in camera or in aggregate (n = 7) | 0 | 7 |</w:t>
      </w:r>
    </w:p>
    <w:p>
      <w:pPr>
        <w:spacing w:after="160" w:line="276" w:lineRule="auto"/>
      </w:pPr>
      <w:r>
        <w:rPr>
          <w:b/>
        </w:rPr>
        <w:t xml:space="preserve">Fisher's exact test, two-sided: p = 0.00466.</w:t>
      </w:r>
    </w:p>
    <w:p>
      <w:pPr>
        <w:spacing w:after="160" w:line="276" w:lineRule="auto"/>
      </w:pPr>
      <w:r>
        <w:t xml:space="preserve">Gap reads concentrate completely: all five programme-level audits carry a Gap read and none of the 27 case-level sources does, p = 0.0000050. Among case-level sources, advisory opinions read Ready in 6 of 7, court decisions in 12 of 18, and Connecticut Commission decisions in 0 of 2.</w:t>
      </w:r>
    </w:p>
    <w:p>
      <w:pPr>
        <w:spacing w:after="160" w:line="276" w:lineRule="auto"/>
      </w:pPr>
      <w:r>
        <w:t xml:space="preserve">Case type and read are not independent in this corpus. That collinearity is why Section 4.1 is reported as concordance rather than association, and it bounds what this section claims: the read responds to structural differences in how much basis a source exposes, not that document class causes the read.</w:t>
      </w:r>
    </w:p>
    <w:p>
      <w:pPr>
        <w:spacing w:after="160" w:line="276" w:lineRule="auto"/>
      </w:pPr>
      <w:r>
        <w:t xml:space="preserve">### 4.4 Criterion association, pooled across both domains</w:t>
      </w:r>
    </w:p>
    <w:p>
      <w:pPr>
        <w:spacing w:after="160" w:line="276" w:lineRule="auto"/>
      </w:pPr>
      <w:r>
        <w:t xml:space="preserve">| Domain | n | Flagged, adverse rate | Complete, adverse rate | p | OR (95% CI) |</w:t>
      </w:r>
    </w:p>
    <w:p>
      <w:pPr>
        <w:spacing w:after="160" w:line="276" w:lineRule="auto"/>
      </w:pPr>
      <w:r>
        <w:t xml:space="preserve">|---|---|---|---|---|---|</w:t>
      </w:r>
    </w:p>
    <w:p>
      <w:pPr>
        <w:spacing w:after="160" w:line="276" w:lineRule="auto"/>
      </w:pPr>
      <w:r>
        <w:t xml:space="preserve">| Employment and labour | 22 | 7 of 9, 77.8% | 2 of 13, 15.4% | 0.0073 | 13.80 (1.91 to 99.92) |</w:t>
      </w:r>
    </w:p>
    <w:p>
      <w:pPr>
        <w:spacing w:after="160" w:line="276" w:lineRule="auto"/>
      </w:pPr>
      <w:r>
        <w:t xml:space="preserve">| Public records | 32 | 10 of 14, 71.4% | 10 of 18, 55.6% | 0.4709 | 1.89 (0.45 to 7.87) |</w:t>
      </w:r>
    </w:p>
    <w:p>
      <w:pPr>
        <w:spacing w:after="160" w:line="276" w:lineRule="auto"/>
      </w:pPr>
      <w:r>
        <w:t xml:space="preserve">| </w:t>
      </w:r>
      <w:r>
        <w:rPr>
          <w:b/>
        </w:rPr>
        <w:t xml:space="preserve">Pooled</w:t>
      </w:r>
      <w:r>
        <w:t xml:space="preserve"> | </w:t>
      </w:r>
      <w:r>
        <w:rPr>
          <w:b/>
        </w:rPr>
        <w:t xml:space="preserve">54</w:t>
      </w:r>
      <w:r>
        <w:t xml:space="preserve"> | </w:t>
      </w:r>
      <w:r>
        <w:rPr>
          <w:b/>
        </w:rPr>
        <w:t xml:space="preserve">17 of 23, 73.9%</w:t>
      </w:r>
      <w:r>
        <w:t xml:space="preserve"> | </w:t>
      </w:r>
      <w:r>
        <w:rPr>
          <w:b/>
        </w:rPr>
        <w:t xml:space="preserve">12 of 31, 38.7%</w:t>
      </w:r>
      <w:r>
        <w:t xml:space="preserve"> | </w:t>
      </w:r>
      <w:r>
        <w:rPr>
          <w:b/>
        </w:rPr>
        <w:t xml:space="preserve">0.0139</w:t>
      </w:r>
      <w:r>
        <w:t xml:space="preserve"> | </w:t>
      </w:r>
      <w:r>
        <w:rPr>
          <w:b/>
        </w:rPr>
        <w:t xml:space="preserve">4.20 (1.33 to 13.22)</w:t>
      </w:r>
      <w:r>
        <w:t xml:space="preserve"> |</w:t>
      </w:r>
    </w:p>
    <w:p>
      <w:pPr>
        <w:spacing w:after="160" w:line="276" w:lineRule="auto"/>
      </w:pPr>
      <w:r>
        <w:t xml:space="preserve">Wilson intervals on the pooled rates: flagged 53.5 to 87.5 percent, complete 23.7 to 56.2 percent.</w:t>
      </w:r>
    </w:p>
    <w:p>
      <w:pPr>
        <w:spacing w:after="160" w:line="276" w:lineRule="auto"/>
      </w:pPr>
      <w:r>
        <w:rPr>
          <w:b/>
        </w:rPr>
        <w:t xml:space="preserve">The two domains are not in conflict.</w:t>
      </w:r>
      <w:r>
        <w:t xml:space="preserve"> A Woolf test of homogeneity on the domain log odds ratios gives </w:t>
      </w:r>
      <w:r>
        <w:rPr>
          <w:b/>
        </w:rPr>
        <w:t xml:space="preserve">Q = 2.550 on 1 degree of freedom, p = 0.110</w:t>
      </w:r>
      <w:r>
        <w:t xml:space="preserve">. The 4.20 reported above is the crude pooled odds ratio from the combined table; the inverse-variance weighted estimate across the two domains is 3.73. Both are given so neither is mistaken for the other, and the Woolf statistic is used here only to test homogeneity, not to estimate the effect. The difference between a significant result in one domain and a null in the other is not itself statistically significant, so the two are consistent with a single underlying effect observed with different power and against different base rates.</w:t>
      </w:r>
    </w:p>
    <w:p>
      <w:pPr>
        <w:spacing w:after="160" w:line="276" w:lineRule="auto"/>
      </w:pPr>
      <w:r>
        <w:t xml:space="preserve">That base-rate difference is documented rather than assumed. In the public-records corpus, 15 of the 20 determinations with a resolved disposition did not survive, a rate set by which cases reach publication rather than by how agencies generally document. A determination reaches a published opinion because a legal question was live, and that question is usually about the scope of an exemption rather than about the sufficiency of the file. The employment corpus is not filtered that way and its base rate of adverse outcomes is close to even.</w:t>
      </w:r>
    </w:p>
    <w:p>
      <w:pPr>
        <w:spacing w:after="160" w:line="276" w:lineRule="auto"/>
      </w:pPr>
      <w:r>
        <w:t xml:space="preserve">### 4.5 Specification check, and the alternative codings</w:t>
      </w:r>
    </w:p>
    <w:p>
      <w:pPr>
        <w:spacing w:after="160" w:line="276" w:lineRule="auto"/>
      </w:pPr>
      <w:r>
        <w:t xml:space="preserve">The specification check tested the public-records read against appellate disposition alone, on the 20 determinations with a resolved one: Ready sustained in 3 of 13, Needs work in 2 of 7. Odds ratio 0.75, </w:t>
      </w:r>
      <w:r>
        <w:rPr>
          <w:b/>
        </w:rPr>
        <w:t xml:space="preserve">p = 1.000, null</w:t>
      </w:r>
      <w:r>
        <w:t xml:space="preserve">.</w:t>
      </w:r>
    </w:p>
    <w:p>
      <w:pPr>
        <w:spacing w:after="160" w:line="276" w:lineRule="auto"/>
      </w:pPr>
      <w:r>
        <w:rPr>
          <w:b/>
        </w:rPr>
        <w:t xml:space="preserve">This null is predicted by the construct and is reported as evidence, not as a failure.</w:t>
      </w:r>
      <w:r>
        <w:t xml:space="preserve"> The reads measure reconstructability. Appellate disposition measures whether a legal question was resolved in the agency's favour. Two variables that measure different things are not expected to correlate.</w:t>
      </w:r>
    </w:p>
    <w:p>
      <w:pPr>
        <w:spacing w:after="160" w:line="276" w:lineRule="auto"/>
      </w:pPr>
      <w:r>
        <w:t xml:space="preserve">In the employment corpus the criterion association moves with the outcome definition. Restricted to the 16 matters with a resolved disposition and asking whether the employer's position was sustained: Ready 6 of 8 against 1 of 8, p = 0.041, odds ratio 21.0. Taking all 22 and treating an unresolved contest as not sustained: Ready 6 of 13 against 1 of 9, p = 0.165, not significant. </w:t>
      </w:r>
      <w:r>
        <w:rPr>
          <w:b/>
        </w:rPr>
        <w:t xml:space="preserve">All three codings run in the same direction and two of the three reach significance. The association is robust in direction and sensitive in magnitude to how an unresolved contest is treated.</w:t>
      </w:r>
    </w:p>
    <w:p>
      <w:pPr>
        <w:pStyle w:val="Heading2"/>
        <w:spacing w:before="360" w:after="120"/>
      </w:pPr>
      <w:r>
        <w:t xml:space="preserve">5. Discussion</w:t>
      </w:r>
    </w:p>
    <w:p>
      <w:pPr>
        <w:spacing w:after="160" w:line="276" w:lineRule="auto"/>
      </w:pPr>
      <w:r>
        <w:t xml:space="preserve">Four independent lines of evidence point the same way. The read agrees with government auditors who examined the same records with their own methodology. It is driven, in the reviewer's own contemporaneous words, by whether a basis could be rebuilt. It separates sources on a structural feature that has nothing to do with the reviewer. It is associated with adverse outcomes when pooled across two domains, and the two domains do not differ significantly from each other. And it is not associated with the one variable the construct predicts it should not track.</w:t>
      </w:r>
    </w:p>
    <w:p>
      <w:pPr>
        <w:spacing w:after="160" w:line="276" w:lineRule="auto"/>
      </w:pPr>
      <w:r>
        <w:rPr>
          <w:b/>
        </w:rPr>
        <w:t xml:space="preserve">The strongest claim this design supports is that documentation reviewability behaves like a property of the record rather than an artefact of a reviewer.</w:t>
      </w:r>
      <w:r>
        <w:t xml:space="preserve"> Two reviewers who did not confer, working in unrelated domains on unrelated jurisdictions, produced reads that move in the same direction against the same kind of outcome, with no significant heterogeneity between them.</w:t>
      </w:r>
    </w:p>
    <w:p>
      <w:pPr>
        <w:spacing w:after="160" w:line="276" w:lineRule="auto"/>
      </w:pPr>
      <w:r>
        <w:t xml:space="preserve">The strongest claim it does not support is that the instrument predicts outcomes, or that applying it improves them. Neither is tested here. What separates this from a correlational finding is the convergent and discriminant evidence: an association alone would be consistent with the read tracking case severity, but a read that also matches independent auditors, is explained by contemporaneous reconstructability notes, and fails to track appellate outcome is behaving like a measure of the thing it names.</w:t>
      </w:r>
    </w:p>
    <w:p>
      <w:pPr>
        <w:pStyle w:val="Heading2"/>
        <w:spacing w:before="360" w:after="120"/>
      </w:pPr>
      <w:r>
        <w:t xml:space="preserve">6. Limitations</w:t>
      </w:r>
    </w:p>
    <w:p>
      <w:pPr>
        <w:spacing w:after="160" w:line="276" w:lineRule="auto"/>
      </w:pPr>
      <w:r>
        <w:t xml:space="preserve">Each corpus was read by a single domain reviewer, so no inter-rater agreement is estimated within either. </w:t>
      </w:r>
      <w:r>
        <w:rPr>
          <w:b/>
        </w:rPr>
        <w:t xml:space="preserve">The same reviewer also recorded the outcomes in each corpus.</w:t>
      </w:r>
      <w:r>
        <w:t xml:space="preserve"> Reads were fixed before outcomes were consulted, but the design controls the order of the two judgments and not their independence. </w:t>
      </w:r>
      <w:r>
        <w:rPr>
          <w:b/>
        </w:rPr>
        <w:t xml:space="preserve">On its own this is sufficient reason to treat every association here as provisional, irrespective of its p-value.</w:t>
      </w:r>
    </w:p>
    <w:p>
      <w:pPr>
        <w:spacing w:after="160" w:line="276" w:lineRule="auto"/>
      </w:pPr>
      <w:r>
        <w:t xml:space="preserve">Cases were selected by the domain reviewers from published sources rather than sampled at random. Published adjudications are not a random sample of records: a matter reaches adjudication because something was contested, which is selection on a variable related to the outcome being measured.</w:t>
      </w:r>
    </w:p>
    <w:p>
      <w:pPr>
        <w:spacing w:after="160" w:line="276" w:lineRule="auto"/>
      </w:pPr>
      <w:r>
        <w:t xml:space="preserve">No analysis plan fixing a primary outcome coding was recorded before either corpus closed. Three codings are reported for the employment corpus and the treatment of unresolved contests decides significance.</w:t>
      </w:r>
    </w:p>
    <w:p>
      <w:pPr>
        <w:spacing w:after="160" w:line="276" w:lineRule="auto"/>
      </w:pPr>
      <w:r>
        <w:t xml:space="preserve">The construct coding in Section 4.2 is post-hoc. Cells throughout are small and intervals correspondingly wide. Case type and read are collinear in the public-records corpus.</w:t>
      </w:r>
    </w:p>
    <w:p>
      <w:pPr>
        <w:spacing w:after="160" w:line="276" w:lineRule="auto"/>
      </w:pPr>
      <w:r>
        <w:t xml:space="preserve">The reviewers read the record as reported inside an adjudicated decision or audit, which is not identical to the file the decision-maker produced at the time.</w:t>
      </w:r>
    </w:p>
    <w:p>
      <w:pPr>
        <w:spacing w:after="160" w:line="276" w:lineRule="auto"/>
      </w:pPr>
      <w:r>
        <w:rPr>
          <w:b/>
        </w:rPr>
        <w:t xml:space="preserve">The findings do not establish that the standard improves organizational outcomes, reduces litigation risk or increases decision quality. Those require separate evaluation.</w:t>
      </w:r>
    </w:p>
    <w:p>
      <w:pPr>
        <w:pStyle w:val="Heading2"/>
        <w:spacing w:before="360" w:after="120"/>
      </w:pPr>
      <w:r>
        <w:t xml:space="preserve">7. Conclusion</w:t>
      </w:r>
    </w:p>
    <w:p>
      <w:pPr>
        <w:spacing w:after="160" w:line="276" w:lineRule="auto"/>
      </w:pPr>
      <w:r>
        <w:t xml:space="preserve">On 54 adjudicated records assembled independently by two reviewers across two domains and four jurisdictional systems, a structured read of documentation reviewability agreed with independent government auditors five times out of five, was explained by contemporaneous reconstructability notes at p = 0.00028, separated sources on a structural feature at p = 0.00466, was associated with adverse findings at p = 0.0139 with no significant heterogeneity between domains, and was correctly unassociated with appellate disposition.</w:t>
      </w:r>
    </w:p>
    <w:p>
      <w:pPr>
        <w:spacing w:after="160" w:line="276" w:lineRule="auto"/>
      </w:pPr>
      <w:r>
        <w:rPr>
          <w:b/>
        </w:rPr>
        <w:t xml:space="preserve">This paper reports a measurement property and a design, not a predictive claim.</w:t>
      </w:r>
      <w:r>
        <w:t xml:space="preserve"> The confirmatory study it specifies follows directly from the limitations above: a larger corpus sampled without regard to how the matter resolved, read blind by at least two reviewers per record, </w:t>
      </w:r>
      <w:r>
        <w:rPr>
          <w:b/>
        </w:rPr>
        <w:t xml:space="preserve">with reads and outcomes recorded by different people</w:t>
      </w:r>
      <w:r>
        <w:t xml:space="preserve">, under an analysis plan that fixes the treatment of unresolved contests </w:t>
      </w:r>
      <w:r>
        <w:rPr>
          <w:b/>
        </w:rPr>
        <w:t xml:space="preserve">before any record is read</w:t>
      </w:r>
      <w:r>
        <w:t xml:space="preserve">. Each of those four requirements corrects a named weakness in this design rather than a general call for more work.</w:t>
      </w:r>
    </w:p>
    <w:p>
      <w:pPr>
        <w:pStyle w:val="Heading2"/>
        <w:spacing w:before="360" w:after="120"/>
      </w:pPr>
      <w:r>
        <w:t xml:space="preserve">8. Data provenance</w:t>
      </w:r>
    </w:p>
    <w:p>
      <w:pPr>
        <w:spacing w:after="160" w:line="276" w:lineRule="auto"/>
      </w:pPr>
      <w:r>
        <w:t xml:space="preserve">Counts are drawn from the study database, contributor codes E-08 (public records) and V-HR-01 (employment), re-verified against the live record on 21 August 2026: 32 and 22 cases respectively, with no activity since 8 August and 29 July 2026. Every Fisher's exact test, odds ratio, Wilson interval and the Woolf homogeneity statistic reported here were recomputed from the cell counts on 21 August 2026 by `scripts/verify_crossdomain_manuscript.py` and reproduce to the digit. The complete case list with citations accompanies this manuscript.</w:t>
      </w:r>
    </w:p>
    <w:p>
      <w:pPr>
        <w:pStyle w:val="Heading2"/>
        <w:spacing w:before="360" w:after="120"/>
      </w:pPr>
      <w:r>
        <w:t xml:space="preserve">References</w:t>
      </w:r>
    </w:p>
    <w:p>
      <w:pPr>
        <w:spacing w:after="160" w:line="276" w:lineRule="auto"/>
      </w:pPr>
      <w:r>
        <w:t xml:space="preserve">Gwet, K. L. (2008). Computing inter-rater reliability and its variance in the presence of high agreement. </w:t>
      </w:r>
      <w:r>
        <w:rPr>
          <w:i/>
        </w:rPr>
        <w:t xml:space="preserve">British Journal of Mathematical and Statistical Psychology, 61</w:t>
      </w:r>
      <w:r>
        <w:t xml:space="preserve">(1), 29-48.</w:t>
      </w:r>
    </w:p>
    <w:p>
      <w:pPr>
        <w:spacing w:after="160" w:line="276" w:lineRule="auto"/>
      </w:pPr>
      <w:r>
        <w:t xml:space="preserve">Wilson, E. B. (1927). Probable inference, the law of succession, and statistical inference. </w:t>
      </w:r>
      <w:r>
        <w:rPr>
          <w:i/>
        </w:rPr>
        <w:t xml:space="preserve">Journal of the American Statistical Association, 22</w:t>
      </w:r>
      <w:r>
        <w:t xml:space="preserve">(158), 209-212.</w:t>
      </w:r>
    </w:p>
    <w:p>
      <w:pPr>
        <w:spacing w:after="160" w:line="276" w:lineRule="auto"/>
      </w:pPr>
      <w:r>
        <w:t xml:space="preserve">Woolf, B. (1955). On estimating the relation between blood group and disease. </w:t>
      </w:r>
      <w:r>
        <w:rPr>
          <w:i/>
        </w:rPr>
        <w:t xml:space="preserve">Annals of Human Genetics, 19</w:t>
      </w:r>
      <w:r>
        <w:t xml:space="preserve">(4), 251-253.</w:t>
      </w:r>
    </w:p>
    <w:sectPr>
      <w:pgSz w:w="12240" w:h="15840"/>
      <w:pgMar w:top="1440" w:right="1440" w:bottom="1440" w:left="1440"/>
    </w:sectPr>
  </w:body>
</w:document>
</file>

<file path=word/styles.xml><?xml version="1.0" encoding="utf-8"?>
<w:styles xmlns:w="http://schemas.openxmlformats.org/wordprocessingml/2006/main">
  <w:docDefaults>
    <w:rPrDefault>
      <w:rPr>
        <w:rFonts w:ascii="Georgia" w:hAnsi="Georgia"/>
        <w:sz w:val="22"/>
      </w:rPr>
    </w:rPrDefault>
  </w:docDefaults>
  <w:style w:type="paragraph" w:styleId="Heading1">
    <w:name w:val="heading 1"/>
    <w:rPr>
      <w:rFonts w:ascii="Georgia" w:hAnsi="Georgia"/>
      <w:b/>
      <w:sz w:val="34"/>
    </w:rPr>
  </w:style>
  <w:style w:type="paragraph" w:styleId="Heading2">
    <w:name w:val="heading 2"/>
    <w:rPr>
      <w:rFonts w:ascii="Georgia" w:hAnsi="Georgia"/>
      <w:b/>
      <w:sz w:val="26"/>
    </w:rPr>
  </w:style>
  <w:style w:type="character" w:styleId="Hyperlink">
    <w:name w:val="Hyperlink"/>
    <w:rPr>
      <w:color w:val="0563C1"/>
      <w:u w:val="single"/>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s>
</file>