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20"/>
      </w:pPr>
      <w:r>
        <w:t xml:space="preserve">Record Reviewability and Adjudicated Outcomes in Employment Matters: A Single-Reviewer Pilot</w:t>
      </w:r>
    </w:p>
    <w:p>
      <w:pPr>
        <w:spacing w:after="160" w:line="276" w:lineRule="auto"/>
      </w:pPr>
      <w:r>
        <w:rPr>
          <w:b/>
        </w:rPr>
        <w:t xml:space="preserve">Working draft. Target: Records Management Journal (Emerald), subscription route.</w:t>
      </w:r>
    </w:p>
    <w:p>
      <w:pPr>
        <w:spacing w:after="160" w:line="276" w:lineRule="auto"/>
      </w:pPr>
      <w:r>
        <w:rPr>
          <w:b/>
        </w:rPr>
        <w:t xml:space="preserve">Authors and contributions</w:t>
      </w:r>
    </w:p>
    <w:p>
      <w:pPr>
        <w:spacing w:after="160" w:line="276" w:lineRule="auto"/>
      </w:pPr>
      <w:r>
        <w:t xml:space="preserve">- </w:t>
      </w:r>
      <w:r>
        <w:rPr>
          <w:b/>
        </w:rPr>
        <w:t xml:space="preserve">Tanvi Pokhriyal.</w:t>
      </w:r>
      <w:r>
        <w:t xml:space="preserve"> First author. Employment and industrial-relations domain lead. Designed the employment case protocol, selected and screened all 22 adjudicated matters, recorded every read from the decision record alone before the documented outcome was consulted, and recorded the outcomes. Human Resources Manager, REIL Innovative Solutions. The pilot reported in Section 5 is her case set.</w:t>
      </w:r>
    </w:p>
    <w:p>
      <w:pPr>
        <w:spacing w:after="160" w:line="276" w:lineRule="auto"/>
      </w:pPr>
      <w:r>
        <w:t xml:space="preserve">- </w:t>
      </w:r>
      <w:r>
        <w:rPr>
          <w:b/>
        </w:rPr>
        <w:t xml:space="preserve">Phillip Wikes.</w:t>
      </w:r>
      <w:r>
        <w:t xml:space="preserve"> Senior author. Framework, evidence programme, analysis, manuscript preparation. Creator of the Justification Review Standard, and therefore an interested party in its evaluation; see the competing-interests statement. Former Lead Civil Rights Officer, Maryland Commission on Civil Rights.</w:t>
      </w:r>
    </w:p>
    <w:p>
      <w:pPr>
        <w:spacing w:after="160" w:line="276" w:lineRule="auto"/>
      </w:pPr>
      <w:r>
        <w:t xml:space="preserve">- </w:t>
      </w:r>
      <w:r>
        <w:rPr>
          <w:b/>
        </w:rPr>
        <w:t xml:space="preserve">Kyle McMullan.</w:t>
      </w:r>
      <w:r>
        <w:t xml:space="preserve"> Audit and investigations lens, Section 6.4, and manuscript review. Chief Audit Executive; internal audit and financial crimes; former Chief Auditor, AML International and Financial Crimes International (Citi); Chartered Accountants Ireland. Accepted 2026-07-18. Authorship final on his substantive pass at 6.4 and his review of the full manuscript.</w:t>
      </w:r>
    </w:p>
    <w:p>
      <w:pPr>
        <w:spacing w:after="160" w:line="276" w:lineRule="auto"/>
      </w:pPr>
      <w:r>
        <w:t xml:space="preserve">- </w:t>
      </w:r>
      <w:r>
        <w:rPr>
          <w:b/>
        </w:rPr>
        <w:t xml:space="preserve">Ubayet Hossain, FRM.</w:t>
      </w:r>
      <w:r>
        <w:t xml:space="preserve"> Statistical validation methodology: reference-panel design, chance-corrected agreement framework, pre-registered decision floors. Associate Director, Model Validation, KPMG India. Co-authorship final on his review and approval of this manuscript.</w:t>
      </w:r>
    </w:p>
    <w:p>
      <w:pPr>
        <w:spacing w:after="160" w:line="276" w:lineRule="auto"/>
      </w:pPr>
      <w:r>
        <w:rPr>
          <w:b/>
        </w:rPr>
        <w:t xml:space="preserve">Scope, and what this paper does not duplicate.</w:t>
      </w:r>
      <w:r>
        <w:t xml:space="preserve"> Two companion papers hold their own primary results and are cited here rather than reproduced. The detection study, which reports panel accuracy against a verified key and the per-condition analysis, is under preparation for a separate venue. The public-records study, first-authored by Stacy Young, holds the 32-case FOIL corpus and is under preparation for the </w:t>
      </w:r>
      <w:r>
        <w:rPr>
          <w:i/>
        </w:rPr>
        <w:t xml:space="preserve">Journal of Civic Information</w:t>
      </w:r>
      <w:r>
        <w:t xml:space="preserve">. This paper's primary result is the employment pilot in Section 5. Public-records material appears here illustratively, never as a primary finding.</w:t>
      </w:r>
    </w:p>
    <w:p>
      <w:pPr>
        <w:pBdr>
          <w:bottom w:val="single" w:sz="6" w:space="1" w:color="BFBFBF"/>
        </w:pBdr>
      </w:pPr>
    </w:p>
    <w:p>
      <w:pPr>
        <w:pStyle w:val="Heading2"/>
        <w:spacing w:before="360" w:after="120"/>
      </w:pPr>
      <w:r>
        <w:t xml:space="preserve">Abstract</w:t>
      </w:r>
    </w:p>
    <w:p>
      <w:pPr>
        <w:spacing w:after="160" w:line="276" w:lineRule="auto"/>
      </w:pPr>
      <w:r>
        <w:rPr>
          <w:b/>
        </w:rPr>
        <w:t xml:space="preserve">Purpose</w:t>
      </w:r>
      <w:r>
        <w:t xml:space="preserve"> – To test whether a structured read of a record's reviewability, recorded before the outcome is known, tracks how adjudicated employment records held up.</w:t>
      </w:r>
    </w:p>
    <w:p>
      <w:pPr>
        <w:spacing w:after="160" w:line="276" w:lineRule="auto"/>
      </w:pPr>
      <w:r>
        <w:rPr>
          <w:b/>
        </w:rPr>
        <w:t xml:space="preserve">Design/methodology/approach</w:t>
      </w:r>
      <w:r>
        <w:t xml:space="preserve"> – Twenty-two adjudicated employment and labour matters from 22 distinct public sources across three jurisdictional systems. Each was read against the five conditions of the Justification Review Standard from the decision record alone, with the read fixed before the outcome was consulted. One reviewer performed both steps.</w:t>
      </w:r>
    </w:p>
    <w:p>
      <w:pPr>
        <w:spacing w:after="160" w:line="276" w:lineRule="auto"/>
      </w:pPr>
      <w:r>
        <w:rPr>
          <w:b/>
        </w:rPr>
        <w:t xml:space="preserve">Findings</w:t>
      </w:r>
      <w:r>
        <w:t xml:space="preserve"> – Records read as incomplete drew an adverse finding in 7 of 9 cases against 2 of 13 read as complete (Fisher's exact, two-sided, p = 0.0073; odds ratio 19.25). The association is sensitive to outcome definition: a second coding gives p = 0.041 and a third, treating an unresolved contest as adverse, is not significant (p = 0.165). All three are reported with equal standing because no analysis plan fixing a primary coding was recorded before the data closed.</w:t>
      </w:r>
    </w:p>
    <w:p>
      <w:pPr>
        <w:spacing w:after="160" w:line="276" w:lineRule="auto"/>
      </w:pPr>
      <w:r>
        <w:rPr>
          <w:b/>
        </w:rPr>
        <w:t xml:space="preserve">Research limitations/implications</w:t>
      </w:r>
      <w:r>
        <w:t xml:space="preserve"> – One reviewer recorded both the reads and the outcomes, so the reads are not independent of the person assigning the outcome. Cases were selected rather than sampled. Cells are small and intervals wide. No causal or predictive claim is made or supported.</w:t>
      </w:r>
    </w:p>
    <w:p>
      <w:pPr>
        <w:spacing w:after="160" w:line="276" w:lineRule="auto"/>
      </w:pPr>
      <w:r>
        <w:rPr>
          <w:b/>
        </w:rPr>
        <w:t xml:space="preserve">Originality/value</w:t>
      </w:r>
      <w:r>
        <w:t xml:space="preserve"> – Reports an effect size and a corrected design for the confirmatory study this pilot cannot be, and treats documentation reviewability as a measurable record property, independent of the software that produced it.</w:t>
      </w:r>
    </w:p>
    <w:p>
      <w:pPr>
        <w:spacing w:after="160" w:line="276" w:lineRule="auto"/>
      </w:pPr>
      <w:r>
        <w:rPr>
          <w:b/>
        </w:rPr>
        <w:t xml:space="preserve">Keywords</w:t>
      </w:r>
      <w:r>
        <w:t xml:space="preserve"> Records management, documentation quality, evidentiary sufficiency, employment adjudication, artificial intelligence, recordkeeping</w:t>
      </w:r>
    </w:p>
    <w:p>
      <w:pPr>
        <w:spacing w:after="160" w:line="276" w:lineRule="auto"/>
      </w:pPr>
      <w:r>
        <w:rPr>
          <w:b/>
        </w:rPr>
        <w:t xml:space="preserve">Article classification</w:t>
      </w:r>
      <w:r>
        <w:t xml:space="preserve"> Research paper</w:t>
      </w:r>
    </w:p>
    <w:p>
      <w:pPr>
        <w:pStyle w:val="Heading2"/>
        <w:spacing w:before="360" w:after="120"/>
      </w:pPr>
      <w:r>
        <w:t xml:space="preserve">1. Introduction</w:t>
      </w:r>
    </w:p>
    <w:p>
      <w:pPr>
        <w:spacing w:after="160" w:line="276" w:lineRule="auto"/>
      </w:pPr>
      <w:r>
        <w:t xml:space="preserve">### 1.1 The defensibility gap</w:t>
      </w:r>
    </w:p>
    <w:p>
      <w:pPr>
        <w:spacing w:after="160" w:line="276" w:lineRule="auto"/>
      </w:pPr>
      <w:r>
        <w:t xml:space="preserve">An HR business partner reviews a termination file ahead of an audit. The documentation is polished, structured, and audit-ready. The rationale reads clearly and confidently. Under audit review one question surfaces: where did this actually come from?</w:t>
      </w:r>
    </w:p>
    <w:p>
      <w:pPr>
        <w:spacing w:after="160" w:line="276" w:lineRule="auto"/>
      </w:pPr>
      <w:r>
        <w:t xml:space="preserve">The manager used a public AI tool to draft the justification, prompted it to strengthen the case, then prompted it again for supporting details. No logs were attached. No independent documentation was referenced. The result is a professional narrative with no verifiable evidentiary foundation. The problem is not a flawed decision. It is an indefensible record, and the space between what a record says and what it can prove is the gap this paper is about.</w:t>
      </w:r>
    </w:p>
    <w:p>
      <w:pPr>
        <w:spacing w:after="160" w:line="276" w:lineRule="auto"/>
      </w:pPr>
      <w:r>
        <w:t xml:space="preserve">### 1.2 Documentation as an evidentiary function</w:t>
      </w:r>
    </w:p>
    <w:p>
      <w:pPr>
        <w:spacing w:after="160" w:line="276" w:lineRule="auto"/>
      </w:pPr>
      <w:r>
        <w:t xml:space="preserve">In employment, public-records, compliance and investigative settings, the written record is the primary artifact tested when a decision is challenged. Under the burden-shifting framework that governs discrimination claims in the United States, and under comparable reasonableness standards elsewhere, whether a stated reason reads as legitimate or as pretext frequently turns on how well the rationale was documented at the time. AI-assisted drafting produces fluent records without guaranteeing that the basis for a conclusion is present in them.</w:t>
      </w:r>
    </w:p>
    <w:p>
      <w:pPr>
        <w:spacing w:after="160" w:line="276" w:lineRule="auto"/>
      </w:pPr>
      <w:r>
        <w:t xml:space="preserve">### 1.3 The governance gap</w:t>
      </w:r>
    </w:p>
    <w:p>
      <w:pPr>
        <w:spacing w:after="160" w:line="276" w:lineRule="auto"/>
      </w:pPr>
      <w:r>
        <w:t xml:space="preserve">Organizations are adopting AI and document-review technology faster than they are measuring whether the resulting documentation remains independently reviewable. Technology inventories record which software is in use. They do not record whether the outputs can be rebuilt by someone who was not there.</w:t>
      </w:r>
    </w:p>
    <w:p>
      <w:pPr>
        <w:spacing w:after="160" w:line="276" w:lineRule="auto"/>
      </w:pPr>
      <w:r>
        <w:t xml:space="preserve">### 1.4 This paper</w:t>
      </w:r>
    </w:p>
    <w:p>
      <w:pPr>
        <w:spacing w:after="160" w:line="276" w:lineRule="auto"/>
      </w:pPr>
      <w:r>
        <w:t xml:space="preserve">We present a record-level review standard, its named risk, and a staged evidence programme, and we report criterion evidence from 22 adjudicated employment and labour matters: records assessed as complete before the outcome was known reached an adverse finding far less often than records assessed as incomplete.</w:t>
      </w:r>
    </w:p>
    <w:p>
      <w:pPr>
        <w:pStyle w:val="Heading2"/>
        <w:spacing w:before="360" w:after="120"/>
      </w:pPr>
      <w:r>
        <w:t xml:space="preserve">2. The Justification Review Standard</w:t>
      </w:r>
    </w:p>
    <w:p>
      <w:pPr>
        <w:spacing w:after="160" w:line="276" w:lineRule="auto"/>
      </w:pPr>
      <w:r>
        <w:t xml:space="preserve">The standard asks one question of a record: can a later, independent reviewer rebuild how a conclusion was reached from the record alone?</w:t>
      </w:r>
    </w:p>
    <w:p>
      <w:pPr>
        <w:spacing w:after="160" w:line="276" w:lineRule="auto"/>
      </w:pPr>
      <w:r>
        <w:t xml:space="preserve">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60" w:line="276" w:lineRule="auto"/>
      </w:pPr>
      <w:r>
        <w:t xml:space="preserve">The conditions resolve to a three-level read: Ready, Needs work, or Gap. The risk the standard names is Decision Reconstruction Risk, the condition in which a record cannot, on its own terms, let an independent reviewer rebuild the basis for a consequential decision.</w:t>
      </w:r>
    </w:p>
    <w:p>
      <w:pPr>
        <w:pStyle w:val="Heading2"/>
        <w:spacing w:before="360" w:after="120"/>
      </w:pPr>
      <w:r>
        <w:t xml:space="preserve">3. The evidence programme</w:t>
      </w:r>
    </w:p>
    <w:p>
      <w:pPr>
        <w:spacing w:after="160" w:line="276" w:lineRule="auto"/>
      </w:pPr>
      <w:r>
        <w:t xml:space="preserve">The programme runs in stages: reproducibility, then reliability, then accuracy against a verified key, then construct validity, then criterion validity on real cases, then external validity. This paper reports criterion validity in the employment domain. Reproducibility, reliability and accuracy are established in the companion detection study and are summarised in Section 4 rather than re-derived here.</w:t>
      </w:r>
    </w:p>
    <w:p>
      <w:pPr>
        <w:pStyle w:val="Heading2"/>
        <w:spacing w:before="360" w:after="120"/>
      </w:pPr>
      <w:r>
        <w:t xml:space="preserve">4. Established results, summarised from the companion studies</w:t>
      </w:r>
    </w:p>
    <w:p>
      <w:pPr>
        <w:spacing w:after="160" w:line="276" w:lineRule="auto"/>
      </w:pPr>
      <w:r>
        <w:rPr>
          <w:b/>
        </w:rPr>
        <w:t xml:space="preserve">Reproducibility.</w:t>
      </w:r>
      <w:r>
        <w:t xml:space="preserve"> Three large language models, one each from Anthropic, OpenAI and Google, applied the standard to the same 15 constructed records and reached a mean pairwise agreement of 84 percent on the determination. Cross-vendor models were used rather than three instances of one provider, so that agreement reflects the method rather than a single model lineage. This measures consistent application, not accuracy.</w:t>
      </w:r>
    </w:p>
    <w:p>
      <w:pPr>
        <w:spacing w:after="160" w:line="276" w:lineRule="auto"/>
      </w:pPr>
      <w:r>
        <w:rPr>
          <w:b/>
        </w:rPr>
        <w:t xml:space="preserve">Reliability.</w:t>
      </w:r>
      <w:r>
        <w:t xml:space="preserve"> Independent raters applied the five conditions to a shared record set. Gwet's AC1 reached 0.739 among expert raters and 0.624 among trained reviewers, on 10 records and 99 labels after keeping one label per rater per record, both above the floor of 0.61 set in advance. AC1 was chosen in advance over kappa because the determination distribution was expected to be skewed. These figures are interim against a pooled target of about 26 records.</w:t>
      </w:r>
    </w:p>
    <w:p>
      <w:pPr>
        <w:spacing w:after="160" w:line="276" w:lineRule="auto"/>
      </w:pPr>
      <w:r>
        <w:rPr>
          <w:b/>
        </w:rPr>
        <w:t xml:space="preserve">The five conditions are not independent of the determination, and no discrimination claim is made from them.</w:t>
      </w:r>
      <w:r>
        <w:t xml:space="preserve"> The determination is a deterministic function of the five conditions: across the corpus, no label with all five conditions passed carries a determination other than Ready, and no label with any condition unmet carries Ready. Testing whether the conditions separate Ready from Gap therefore tests a variable against a function of itself, and any association it produces is an artefact of the instrument's design rather than evidence about records. An earlier version of this manuscript reported that separation with Fisher's exact p values between 1.0e-08 and 1.5e-11. </w:t>
      </w:r>
      <w:r>
        <w:rPr>
          <w:b/>
        </w:rPr>
        <w:t xml:space="preserve">That analysis is withdrawn.</w:t>
      </w:r>
      <w:r>
        <w:t xml:space="preserve"> What the condition-level data does support is reported instead as agreement: chance-corrected agreement on the individual conditions ranges from 0.236 to 0.413 across the five, below the 0.61 floor set in advance, so the conditions agree less well than the determination they compose. That is a limitation of the instrument at condition level and it is reported as one.</w:t>
      </w:r>
    </w:p>
    <w:p>
      <w:pPr>
        <w:spacing w:after="160" w:line="276" w:lineRule="auto"/>
      </w:pPr>
      <w:r>
        <w:rPr>
          <w:b/>
        </w:rPr>
        <w:t xml:space="preserve">Methodology attribution.</w:t>
      </w:r>
      <w:r>
        <w:t xml:space="preserve"> The reference-panel design, the chance-corrected agreement framework with Gwet's AC1 as the pre-registered primary coefficient, and the acceptance floors are the methodological contribution of Ubayet Hossain, FRM. Statistical analyses were specified before interpretation. The proportionality principle referenced in the standard was surfaced by pilot reviewer Saurabh Nanda and is credited with permission.</w:t>
      </w:r>
    </w:p>
    <w:p>
      <w:pPr>
        <w:pStyle w:val="Heading2"/>
        <w:spacing w:before="360" w:after="120"/>
      </w:pPr>
      <w:r>
        <w:t xml:space="preserve">5. The pilot: adjudicated employment matters</w:t>
      </w:r>
    </w:p>
    <w:p>
      <w:pPr>
        <w:spacing w:after="160" w:line="276" w:lineRule="auto"/>
      </w:pPr>
      <w:r>
        <w:t xml:space="preserve">### 5.1 Design and sample</w:t>
      </w:r>
    </w:p>
    <w:p>
      <w:pPr>
        <w:spacing w:after="160" w:line="276" w:lineRule="auto"/>
      </w:pPr>
      <w:r>
        <w:t xml:space="preserve">Each case pairs an adjudicated employment or labour matter, in which the sufficiency of the employer's record was at issue, with its documented outcome. The read is recorded first, from the decision record alone and before the outcome is consulted. The outcome and the citation are recorded afterwards. Public material only, each case carrying a public citation.</w:t>
      </w:r>
    </w:p>
    <w:p>
      <w:pPr>
        <w:spacing w:after="160" w:line="276" w:lineRule="auto"/>
      </w:pPr>
      <w:r>
        <w:rPr>
          <w:b/>
        </w:rPr>
        <w:t xml:space="preserve">One reviewer performed both steps, and the two roles were not separated.</w:t>
      </w:r>
      <w:r>
        <w:t xml:space="preserve"> The same person read the record and, afterwards, recorded the outcome. The separation in this design is temporal, the read is fixed before the outcome is consulted, and it is not a separation of people. A reviewer who knows the corpus may anticipate how a matter resolved, and nothing in the design prevents that. This is the principal limitation of the pilot, it is stated here rather than only in Section 7, and it is the first thing the confirmatory design in Section 8 corrects.</w:t>
      </w:r>
    </w:p>
    <w:p>
      <w:pPr>
        <w:spacing w:after="160" w:line="276" w:lineRule="auto"/>
      </w:pPr>
      <w:r>
        <w:t xml:space="preserve">The sample is 22 cases from 22 distinct public sources, collected 22 June to 29 July 2026, spanning three jurisdictional systems: United States Supreme Court decisions, United States Federal Labor Relations Authority decisions, and United Kingdom Employment Tribunal judgments. The stated target was 20 to 30 cases with a spread of outcomes, and the sample meets it. The pilot closed at 22 on 29 July 2026.</w:t>
      </w:r>
    </w:p>
    <w:p>
      <w:pPr>
        <w:spacing w:after="160" w:line="276" w:lineRule="auto"/>
      </w:pPr>
      <w:r>
        <w:t xml:space="preserve">Reads: 13 Ready, 6 Needs work, 3 Gap. Outcomes: 7 sustained, 7 did not survive review, 6 contested with no recorded disposition, 2 adverse audit or compliance findings.</w:t>
      </w:r>
    </w:p>
    <w:p>
      <w:pPr>
        <w:spacing w:after="160" w:line="276" w:lineRule="auto"/>
      </w:pPr>
      <w:r>
        <w:t xml:space="preserve">| Read | Sustained | Did not survive | Contested | Adverse finding | Total |</w:t>
      </w:r>
    </w:p>
    <w:p>
      <w:pPr>
        <w:spacing w:after="160" w:line="276" w:lineRule="auto"/>
      </w:pPr>
      <w:r>
        <w:t xml:space="preserve">|---|---|---|---|---|---|</w:t>
      </w:r>
    </w:p>
    <w:p>
      <w:pPr>
        <w:spacing w:after="160" w:line="276" w:lineRule="auto"/>
      </w:pPr>
      <w:r>
        <w:t xml:space="preserve">| Ready | 6 | 1 | 5 | 1 | 13 |</w:t>
      </w:r>
    </w:p>
    <w:p>
      <w:pPr>
        <w:spacing w:after="160" w:line="276" w:lineRule="auto"/>
      </w:pPr>
      <w:r>
        <w:t xml:space="preserve">| Needs work | 0 | 4 | 1 | 1 | 6 |</w:t>
      </w:r>
    </w:p>
    <w:p>
      <w:pPr>
        <w:spacing w:after="160" w:line="276" w:lineRule="auto"/>
      </w:pPr>
      <w:r>
        <w:t xml:space="preserve">| Gap | 1 | 2 | 0 | 0 | 3 |</w:t>
      </w:r>
    </w:p>
    <w:p>
      <w:pPr>
        <w:spacing w:after="160" w:line="276" w:lineRule="auto"/>
      </w:pPr>
      <w:r>
        <w:t xml:space="preserve">| </w:t>
      </w:r>
      <w:r>
        <w:rPr>
          <w:b/>
        </w:rPr>
        <w:t xml:space="preserve">Total</w:t>
      </w:r>
      <w:r>
        <w:t xml:space="preserve"> | </w:t>
      </w:r>
      <w:r>
        <w:rPr>
          <w:b/>
        </w:rPr>
        <w:t xml:space="preserve">7</w:t>
      </w:r>
      <w:r>
        <w:t xml:space="preserve"> | </w:t>
      </w:r>
      <w:r>
        <w:rPr>
          <w:b/>
        </w:rPr>
        <w:t xml:space="preserve">7</w:t>
      </w:r>
      <w:r>
        <w:t xml:space="preserve"> | </w:t>
      </w:r>
      <w:r>
        <w:rPr>
          <w:b/>
        </w:rPr>
        <w:t xml:space="preserve">6</w:t>
      </w:r>
      <w:r>
        <w:t xml:space="preserve"> | </w:t>
      </w:r>
      <w:r>
        <w:rPr>
          <w:b/>
        </w:rPr>
        <w:t xml:space="preserve">2</w:t>
      </w:r>
      <w:r>
        <w:t xml:space="preserve"> | </w:t>
      </w:r>
      <w:r>
        <w:rPr>
          <w:b/>
        </w:rPr>
        <w:t xml:space="preserve">22</w:t>
      </w:r>
      <w:r>
        <w:t xml:space="preserve"> |</w:t>
      </w:r>
    </w:p>
    <w:p>
      <w:pPr>
        <w:spacing w:after="160" w:line="276" w:lineRule="auto"/>
      </w:pPr>
      <w:r>
        <w:t xml:space="preserve">### 5.2 The association, and the coding it depends on</w:t>
      </w:r>
    </w:p>
    <w:p>
      <w:pPr>
        <w:spacing w:after="160" w:line="276" w:lineRule="auto"/>
      </w:pPr>
      <w:r>
        <w:rPr>
          <w:b/>
        </w:rPr>
        <w:t xml:space="preserve">No analysis plan fixing a primary outcome coding was recorded before the data closed, and this paper does not claim otherwise.</w:t>
      </w:r>
      <w:r>
        <w:t xml:space="preserve"> The pilot was designed to test whether a documentation read tracks how a record holds up; it did not fix in advance whether a contested matter with no recorded disposition counts as an adverse outcome. That definition turns out to decide the result, so all three codings are reported below with equal standing and in a fixed order, strongest to weakest, rather than one being presented as primary.</w:t>
      </w:r>
    </w:p>
    <w:p>
      <w:pPr>
        <w:spacing w:after="160" w:line="276" w:lineRule="auto"/>
      </w:pPr>
      <w:r>
        <w:t xml:space="preserve">Under the first coding, an adverse finding means the matter did not survive review or drew an adverse audit or compliance finding. Needs work is grouped with Gap, because both indicate an incomplete basis:</w:t>
      </w:r>
    </w:p>
    <w:p>
      <w:pPr>
        <w:spacing w:after="160" w:line="276" w:lineRule="auto"/>
      </w:pPr>
      <w:r>
        <w:t xml:space="preserve">| | Adverse finding | No adverse finding | Adverse rate (95% CI) |</w:t>
      </w:r>
    </w:p>
    <w:p>
      <w:pPr>
        <w:spacing w:after="160" w:line="276" w:lineRule="auto"/>
      </w:pPr>
      <w:r>
        <w:t xml:space="preserve">|---|---|---|---|</w:t>
      </w:r>
    </w:p>
    <w:p>
      <w:pPr>
        <w:spacing w:after="160" w:line="276" w:lineRule="auto"/>
      </w:pPr>
      <w:r>
        <w:t xml:space="preserve">| Needs work or Gap (n = 9) | 7 | 2 | 77.8% (45.3 to 93.7) |</w:t>
      </w:r>
    </w:p>
    <w:p>
      <w:pPr>
        <w:spacing w:after="160" w:line="276" w:lineRule="auto"/>
      </w:pPr>
      <w:r>
        <w:t xml:space="preserve">| Ready (n = 13) | 2 | 11 | 15.4% (4.3 to 42.2) |</w:t>
      </w:r>
    </w:p>
    <w:p>
      <w:pPr>
        <w:spacing w:after="160" w:line="276" w:lineRule="auto"/>
      </w:pPr>
      <w:r>
        <w:t xml:space="preserve">Fisher's exact test, two-sided: </w:t>
      </w:r>
      <w:r>
        <w:rPr>
          <w:b/>
        </w:rPr>
        <w:t xml:space="preserve">p = 0.0073</w:t>
      </w:r>
      <w:r>
        <w:t xml:space="preserve">. Odds ratio 19.25. Intervals are Wilson score intervals, used because the cells are small.</w:t>
      </w:r>
    </w:p>
    <w:p>
      <w:pPr>
        <w:spacing w:after="160" w:line="276" w:lineRule="auto"/>
      </w:pPr>
      <w:r>
        <w:t xml:space="preserve">Records the reviewer flagged as incomplete, before knowing how the matter resolved, reached an adverse finding five times more often than records she passed. </w:t>
      </w:r>
      <w:r>
        <w:rPr>
          <w:b/>
        </w:rPr>
        <w:t xml:space="preserve">On nine flagged records against thirteen passed, that difference rests on cells of 7, 2, 2 and 11.</w:t>
      </w:r>
    </w:p>
    <w:p>
      <w:pPr>
        <w:spacing w:after="160" w:line="276" w:lineRule="auto"/>
      </w:pPr>
      <w:r>
        <w:t xml:space="preserve">### 5.3 The other two codings</w:t>
      </w:r>
    </w:p>
    <w:p>
      <w:pPr>
        <w:spacing w:after="160" w:line="276" w:lineRule="auto"/>
      </w:pPr>
      <w:r>
        <w:t xml:space="preserve">These are not robustness checks on a settled primary result. They are two further defensible readings of the same 22 cases, and one of them does not reach significance.</w:t>
      </w:r>
    </w:p>
    <w:p>
      <w:pPr>
        <w:spacing w:after="160" w:line="276" w:lineRule="auto"/>
      </w:pPr>
      <w:r>
        <w:t xml:space="preserve">Restricting to the 16 cases with a resolved disposition and asking whether the employer's position was sustained: Ready 6 of 8 sustained (75.0 percent, interval 40.9 to 92.9) against Needs work or Gap 1 of 8 (12.5 percent, interval 2.2 to 47.1). Fisher's exact, two-sided, p = 0.041, odds ratio 21.0.</w:t>
      </w:r>
    </w:p>
    <w:p>
      <w:pPr>
        <w:spacing w:after="160" w:line="276" w:lineRule="auto"/>
      </w:pPr>
      <w:r>
        <w:t xml:space="preserve">Taking all 22 cases and asking only whether the matter was sustained, which counts the six contested cases as not sustained: Ready 6 of 13 (46 percent) against Needs work or Gap 1 of 9 (11 percent), p = 0.165. The direction is the same and the test does not reach significance, which is what a coding that treats an unrecorded disposition as an adverse one would be expected to produce.</w:t>
      </w:r>
    </w:p>
    <w:p>
      <w:pPr>
        <w:spacing w:after="160" w:line="276" w:lineRule="auto"/>
      </w:pPr>
      <w:r>
        <w:rPr>
          <w:b/>
        </w:rPr>
        <w:t xml:space="preserve">All three codings run in the same direction and only two reach significance.</w:t>
      </w:r>
      <w:r>
        <w:t xml:space="preserve"> The honest summary is that the association is real enough to be worth a confirmatory study and not robust enough to be called a finding: it survives when an unresolved contest is treated as not adverse, and it does not survive when the same contest is treated as adverse. Which of those is correct is a question about employment adjudication, not about this dataset, and it should be settled in a protocol before the next corpus is read.</w:t>
      </w:r>
    </w:p>
    <w:p>
      <w:pPr>
        <w:spacing w:after="160" w:line="276" w:lineRule="auto"/>
      </w:pPr>
      <w:r>
        <w:t xml:space="preserve">### 5.4 The counter-example, retained</w:t>
      </w:r>
    </w:p>
    <w:p>
      <w:pPr>
        <w:spacing w:after="160" w:line="276" w:lineRule="auto"/>
      </w:pPr>
      <w:r>
        <w:t xml:space="preserve">One record read as Gap was sustained. It is retained in the analysis and named here rather than dropped. A three-case Gap group supports no separate reading, and the signal in this corpus comes from the contrast between Ready and Needs work, where the Needs work group was sustained in none of four resolved cases.</w:t>
      </w:r>
    </w:p>
    <w:p>
      <w:pPr>
        <w:pStyle w:val="Heading2"/>
        <w:spacing w:before="360" w:after="120"/>
      </w:pPr>
      <w:r>
        <w:t xml:space="preserve">6. Discussion</w:t>
      </w:r>
    </w:p>
    <w:p>
      <w:pPr>
        <w:spacing w:after="160" w:line="276" w:lineRule="auto"/>
      </w:pPr>
      <w:r>
        <w:t xml:space="preserve">### 6.1 Documentation quality as an independent governance metric</w:t>
      </w:r>
    </w:p>
    <w:p>
      <w:pPr>
        <w:spacing w:after="160" w:line="276" w:lineRule="auto"/>
      </w:pPr>
      <w:r>
        <w:t xml:space="preserve">Reviewability is a property of the record, measurable regardless of the software or AI system that produced it. That is what makes it portable: the same read applies to a hand-typed file and an AI-drafted one, and it measures the thing that decides the outcome when the file is tested.</w:t>
      </w:r>
    </w:p>
    <w:p>
      <w:pPr>
        <w:spacing w:after="160" w:line="276" w:lineRule="auto"/>
      </w:pPr>
      <w:r>
        <w:t xml:space="preserve">### 6.2 Complementary to technology adoption, not competitive with it</w:t>
      </w:r>
    </w:p>
    <w:p>
      <w:pPr>
        <w:spacing w:after="160" w:line="276" w:lineRule="auto"/>
      </w:pPr>
      <w:r>
        <w:t xml:space="preserve">A technology inventory answers what tools are in use. A documentation read answers whether the outputs hold up. An organization can adopt new review software and, in parallel, sample its own records for reconstructability, catching the case where better tooling produces fluent but unreconstructable files.</w:t>
      </w:r>
    </w:p>
    <w:p>
      <w:pPr>
        <w:spacing w:after="160" w:line="276" w:lineRule="auto"/>
      </w:pPr>
      <w:r>
        <w:t xml:space="preserve">### 6.3 Cross-domain relevance</w:t>
      </w:r>
    </w:p>
    <w:p>
      <w:pPr>
        <w:spacing w:after="160" w:line="276" w:lineRule="auto"/>
      </w:pPr>
      <w:r>
        <w:t xml:space="preserve">The same reconstructability question applies to employment, public-records, compliance and investigative documentation. The companion public-records study found that in a corpus of published appellate decisions the read did not predict who won, and explained why: cases reach publication because a legal question was live, not because the file was thin. The employment corpus in Section 5 is not filtered that way, and there the association appears. Both results are consistent with a read that measures documentation quality and a publication process that selects on something else.</w:t>
      </w:r>
    </w:p>
    <w:p>
      <w:pPr>
        <w:spacing w:after="160" w:line="276" w:lineRule="auto"/>
      </w:pPr>
      <w:r>
        <w:t xml:space="preserve">### 6.4 The audit and investigations lens</w:t>
      </w:r>
    </w:p>
    <w:p>
      <w:pPr>
        <w:spacing w:after="160" w:line="276" w:lineRule="auto"/>
      </w:pPr>
      <w:r>
        <w:t xml:space="preserve">Internal audit and financial-crime work test records the way litigation does, only sooner and more often. An examiner does not re-interview the decision-maker's memory; the examiner reads the file and asks whether its stated basis can be rebuilt from the record itself. That is the same question the standard asks, applied before the examiner arrives rather than after. Decision Reconstruction Risk is not abstract in this setting. It is the recurring reason a defensible decision becomes an indefensible file.</w:t>
      </w:r>
    </w:p>
    <w:p>
      <w:pPr>
        <w:spacing w:after="160" w:line="276" w:lineRule="auto"/>
      </w:pPr>
      <w:r>
        <w:t xml:space="preserve">Three failure patterns recur across examinations, and each maps to a specific way AI-assisted drafting introduces the risk.</w:t>
      </w:r>
    </w:p>
    <w:p>
      <w:pPr>
        <w:spacing w:after="160" w:line="276" w:lineRule="auto"/>
      </w:pPr>
      <w:r>
        <w:rPr>
          <w:b/>
        </w:rPr>
        <w:t xml:space="preserve">Manager convenience.</w:t>
      </w:r>
      <w:r>
        <w:t xml:space="preserve"> A decision is challenged and the organization cannot produce underlying documentation beyond the AI-generated narrative. The source material, the logs, communications and measurable observations that would have supported the conclusion, was never attached, because the narrative read as complete without it. In discovery or audit the absence of source material becomes the central issue and shifts the burden onto the organization: a sound decision now has to be defended without the evidence that made it sound.</w:t>
      </w:r>
    </w:p>
    <w:p>
      <w:pPr>
        <w:spacing w:after="160" w:line="276" w:lineRule="auto"/>
      </w:pPr>
      <w:r>
        <w:rPr>
          <w:b/>
        </w:rPr>
        <w:t xml:space="preserve">Compliance washing.</w:t>
      </w:r>
      <w:r>
        <w:t xml:space="preserve"> A file uses the correct terminology and follows the template exactly, while every substantive claim rests on AI-generated phrasing rather than documented observation. Read one at a time, each file looks compliant. Read across a population, the same fluent, evidence-free construction repeats, and what looked like isolated polish reads as a systemic control weakness. This is the pattern examiners escalate, because it suggests the control environment produced the appearance of documentation rather than the substance.</w:t>
      </w:r>
    </w:p>
    <w:p>
      <w:pPr>
        <w:spacing w:after="160" w:line="276" w:lineRule="auto"/>
      </w:pPr>
      <w:r>
        <w:rPr>
          <w:b/>
        </w:rPr>
        <w:t xml:space="preserve">No second-line review.</w:t>
      </w:r>
      <w:r>
        <w:t xml:space="preserve"> A record moves from a manager's draft to the system of record without independent review, leaving no documented check on the reasoning. The missing control is invisible in any single file and obvious across the process: nothing in the record shows that a second person tested the basis before it became official. Under examination the absence of a review step undermines the credibility of the whole process, not just the one decision.</w:t>
      </w:r>
    </w:p>
    <w:p>
      <w:pPr>
        <w:spacing w:after="160" w:line="276" w:lineRule="auto"/>
      </w:pPr>
      <w:r>
        <w:t xml:space="preserve">In audit terms the standard functions as a record-level control test. It asks of each file the single question an examiner will eventually ask, before the examiner does: can a later, independent reviewer rebuild how this conclusion was reached from the record alone? A file that fails that test is not necessarily a wrong decision, but it is an exposure, and it is one that can be found and remediated inside the workflow rather than in a deposition. Framed this way, documentation quality becomes an auditable control with a testable pass condition, which is what makes it usable as a first-line and second-line check rather than a matter of style.</w:t>
      </w:r>
    </w:p>
    <w:p>
      <w:pPr>
        <w:spacing w:after="160" w:line="276" w:lineRule="auto"/>
      </w:pPr>
      <w:r>
        <w:t xml:space="preserve">### 6.5 Practitioner implications: a pre-finalization control set</w:t>
      </w:r>
    </w:p>
    <w:p>
      <w:pPr>
        <w:spacing w:after="160" w:line="276" w:lineRule="auto"/>
      </w:pPr>
      <w:r>
        <w:t xml:space="preserve">The framework translates into four controls applied before a record enters the system of record, inside existing workflows.</w:t>
      </w:r>
    </w:p>
    <w:p>
      <w:pPr>
        <w:spacing w:after="160" w:line="276" w:lineRule="auto"/>
      </w:pPr>
      <w:r>
        <w:t xml:space="preserve">Anchor every material claim to verifiable evidence that existed before drafting: logs, communications, measurable data, not AI-generated narrative. Treat AI output as unverified draft material until independently substantiated. Eliminate proxy language, describing observable conduct rather than interpretation, because repeated subjective descriptors can function as pattern evidence in discrimination claims. Keep drafting inside approved, auditable systems, because the larger exposure is not AI use but untracked AI use.</w:t>
      </w:r>
    </w:p>
    <w:p>
      <w:pPr>
        <w:spacing w:after="160" w:line="276" w:lineRule="auto"/>
      </w:pPr>
      <w:r>
        <w:t xml:space="preserve">Three indicators make the control set measurable: the percentage of claims supported by documented evidence, the rate of claims lacking documentation, and the frequency of subjective language across files, tracked on a periodic sample, flag and remediate cadence. These function as early-warning signals of legal and compliance exposure rather than as a documentation-tidiness score.</w:t>
      </w:r>
    </w:p>
    <w:p>
      <w:pPr>
        <w:spacing w:after="160" w:line="276" w:lineRule="auto"/>
      </w:pPr>
      <w:r>
        <w:t xml:space="preserve">AI has changed how documentation is produced. It has not changed how documentation is judged.</w:t>
      </w:r>
    </w:p>
    <w:p>
      <w:pPr>
        <w:pStyle w:val="Heading2"/>
        <w:spacing w:before="360" w:after="120"/>
      </w:pPr>
      <w:r>
        <w:t xml:space="preserve">7. Limitations</w:t>
      </w:r>
    </w:p>
    <w:p>
      <w:pPr>
        <w:spacing w:after="160" w:line="276" w:lineRule="auto"/>
      </w:pPr>
      <w:r>
        <w:t xml:space="preserve">The criterion sample is 22 cases, and the primary test rests on 9 flagged against 13 passed. The intervals are correspondingly wide.</w:t>
      </w:r>
    </w:p>
    <w:p>
      <w:pPr>
        <w:spacing w:after="160" w:line="276" w:lineRule="auto"/>
      </w:pPr>
      <w:r>
        <w:t xml:space="preserve">All 22 reads were recorded by a single domain reviewer, so no inter-rater agreement is estimated within this corpus and reader-dependence cannot be ruled out. </w:t>
      </w:r>
      <w:r>
        <w:rPr>
          <w:b/>
        </w:rPr>
        <w:t xml:space="preserve">The same reviewer also recorded the outcomes.</w:t>
      </w:r>
      <w:r>
        <w:t xml:space="preserve"> The reads were fixed before the outcome was consulted, but the roles were not held by different people, so the design controls the order of the two judgments and not their independence. </w:t>
      </w:r>
      <w:r>
        <w:rPr>
          <w:b/>
        </w:rPr>
        <w:t xml:space="preserve">On its own this is sufficient reason to treat the association as provisional, irrespective of its p-value.</w:t>
      </w:r>
    </w:p>
    <w:p>
      <w:pPr>
        <w:spacing w:after="160" w:line="276" w:lineRule="auto"/>
      </w:pPr>
      <w:r>
        <w:t xml:space="preserve">Cases were selected by the domain reviewer from published sources rather than sampled at random. Published adjudications are not a random sample of employment records: a matter reaches adjudication because something was contested, which is a selection on a variable related to the outcome being measured.</w:t>
      </w:r>
    </w:p>
    <w:p>
      <w:pPr>
        <w:spacing w:after="160" w:line="276" w:lineRule="auto"/>
      </w:pPr>
      <w:r>
        <w:t xml:space="preserve">Six cases record a contest without a resolved disposition. How those six are treated decides whether the association reaches significance, and no rule for treating them was recorded before the data closed. All three treatments are reported in Section 5.</w:t>
      </w:r>
    </w:p>
    <w:p>
      <w:pPr>
        <w:spacing w:after="160" w:line="276" w:lineRule="auto"/>
      </w:pPr>
      <w:r>
        <w:t xml:space="preserve">The Gap group is three cases and supports no separate reading.</w:t>
      </w:r>
    </w:p>
    <w:p>
      <w:pPr>
        <w:spacing w:after="160" w:line="276" w:lineRule="auto"/>
      </w:pPr>
      <w:r>
        <w:t xml:space="preserve">The reviewer read the employer's record as reported inside an adjudicated decision, which is not identical to the file the decision-maker produced at the time.</w:t>
      </w:r>
    </w:p>
    <w:p>
      <w:pPr>
        <w:spacing w:after="160" w:line="276" w:lineRule="auto"/>
      </w:pPr>
      <w:r>
        <w:t xml:space="preserve">Reliability figures are interim on 10 of about 26 pooled records, and in that corpus no rater used the lowest coding level on any condition, so the per-condition separations in Section 4 are between the upper two levels rather than across the full scale.</w:t>
      </w:r>
    </w:p>
    <w:p>
      <w:pPr>
        <w:spacing w:after="160" w:line="276" w:lineRule="auto"/>
      </w:pPr>
      <w:r>
        <w:t xml:space="preserve">The findings do not establish that the standard improves organizational outcomes, reduces litigation risk, or increases decision quality. Those require separate evaluation. The standard remains in a validation phase.</w:t>
      </w:r>
    </w:p>
    <w:p>
      <w:pPr>
        <w:pStyle w:val="Heading2"/>
        <w:spacing w:before="360" w:after="120"/>
      </w:pPr>
      <w:r>
        <w:t xml:space="preserve">8. Conclusion</w:t>
      </w:r>
    </w:p>
    <w:p>
      <w:pPr>
        <w:spacing w:after="160" w:line="276" w:lineRule="auto"/>
      </w:pPr>
      <w:r>
        <w:t xml:space="preserve">Decisions are defended from the record or not at all. On 22 adjudicated employment and labour matters across three jurisdictional systems, a structured read of the record, recorded before the outcome was known, separated the matters that drew an adverse finding from the matters that did not, at p = 0.0073 with an odds ratio of 19 under one of three defensible outcome codings, and not significantly under another.</w:t>
      </w:r>
    </w:p>
    <w:p>
      <w:pPr>
        <w:spacing w:after="160" w:line="276" w:lineRule="auto"/>
      </w:pPr>
      <w:r>
        <w:t xml:space="preserve">The sample is small, one reviewer produced both the reads and the outcomes, and the result moves with the outcome definition. </w:t>
      </w:r>
      <w:r>
        <w:rPr>
          <w:b/>
        </w:rPr>
        <w:t xml:space="preserve">This paper therefore reports an effect size and a design, not a finding.</w:t>
      </w:r>
      <w:r>
        <w:t xml:space="preserve"> What it establishes is that an effect of this size is detectable at this scale, which is what makes the confirmatory study worth running and specifies it: a larger corpus, sampled without regard to how the matter resolved, read blind by at least two reviewers, </w:t>
      </w:r>
      <w:r>
        <w:rPr>
          <w:b/>
        </w:rPr>
        <w:t xml:space="preserve">with the reads and the outcomes recorded by different people</w:t>
      </w:r>
      <w:r>
        <w:t xml:space="preserve">, under an analysis plan that fixes the treatment of unresolved contests </w:t>
      </w:r>
      <w:r>
        <w:rPr>
          <w:b/>
        </w:rPr>
        <w:t xml:space="preserve">before any record is read</w:t>
      </w:r>
      <w:r>
        <w:t xml:space="preserve">. Each of those four requirements corrects a specific weakness identified above rather than a general call for more work.</w:t>
      </w:r>
    </w:p>
    <w:p>
      <w:pPr>
        <w:pStyle w:val="Heading2"/>
        <w:spacing w:before="360" w:after="120"/>
      </w:pPr>
      <w:r>
        <w:t xml:space="preserve">9. Data provenance</w:t>
      </w:r>
    </w:p>
    <w:p>
      <w:pPr>
        <w:spacing w:after="160" w:line="276" w:lineRule="auto"/>
      </w:pPr>
      <w:r>
        <w:t xml:space="preserve">Counts are drawn from the study database under the employment and industrial-relations domain, contributor code V-HR-01, re-verified against the live record on 21 August 2026, which returns 22 cases with no activity since 29 July 2026: 22 cases from 22 distinct public sources, 22 June to 29 July 2026; reads 13 Ready, 6 Needs work, 3 Gap; outcomes 7 sustained, 7 did not survive review, 6 contested, 2 adverse findings. Reproducibility, reliability and per-condition figures are drawn from the same database and are reported in full in the companion detection study. Every figure in Sections 4 and 5 is reproduced by standard-library analysis scripts held with the study record; all Fisher's exact tests, odds ratios and Wilson intervals in Section 5 were recomputed from the cell counts on 21 August 2026 and reproduce to the digit. </w:t>
      </w:r>
      <w:r>
        <w:rPr>
          <w:b/>
        </w:rPr>
        <w:t xml:space="preserve">No analysis plan fixing a primary outcome coding was recorded before the data closed on 29 July 2026, and none is claimed.</w:t>
      </w:r>
      <w:r>
        <w:t xml:space="preserve"> The three codings in Section 5 were specified after the data were complete and are reported together for that reason. The complete case list with citations accompanies this manuscript.</w:t>
      </w:r>
    </w:p>
    <w:p>
      <w:pPr>
        <w:pStyle w:val="Heading2"/>
        <w:spacing w:before="360" w:after="120"/>
      </w:pPr>
      <w:r>
        <w:t xml:space="preserve">Competing interests</w:t>
      </w:r>
    </w:p>
    <w:p>
      <w:pPr>
        <w:spacing w:after="160" w:line="276" w:lineRule="auto"/>
      </w:pPr>
      <w:r>
        <w:t xml:space="preserve">Phillip Wikes created the Justification Review Standard evaluated here and is an interested party in its evaluation. </w:t>
      </w:r>
      <w:r>
        <w:rPr>
          <w:b/>
        </w:rPr>
        <w:t xml:space="preserve">He read no case in this corpus and recorded no read and no outcome.</w:t>
      </w:r>
      <w:r>
        <w:t xml:space="preserve"> The case set, the reads and the outcomes are Tanvi Pokhriyal's, recorded under contributor code V-HR-01 in the study database. His contribution is the statistical analysis and the preparation of this manuscript.</w:t>
      </w:r>
    </w:p>
    <w:p>
      <w:pPr>
        <w:spacing w:after="160" w:line="276" w:lineRule="auto"/>
      </w:pPr>
      <w:r>
        <w:t xml:space="preserve">[REQUIRED_ENV_PARAM: co-author declarations. T. Pokhriyal, U. Hossain and K. McMullan must each confirm in writing whether they hold any financial or commercial interest in the Justification Review Standard, and any funding received. These are not assumed here. Replace this block with their confirmed declarations before submission.]</w:t>
      </w:r>
    </w:p>
    <w:p>
      <w:pPr>
        <w:pStyle w:val="Heading2"/>
        <w:spacing w:before="360" w:after="120"/>
      </w:pPr>
      <w:r>
        <w:t xml:space="preserve">References</w:t>
      </w:r>
    </w:p>
    <w:p>
      <w:pPr>
        <w:spacing w:after="160" w:line="276" w:lineRule="auto"/>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60" w:line="276" w:lineRule="auto"/>
      </w:pPr>
      <w:r>
        <w:rPr>
          <w:i/>
        </w:rPr>
        <w:t xml:space="preserve">McDonnell Douglas Corp. v. Green</w:t>
      </w:r>
      <w:r>
        <w:t xml:space="preserve">, 411 U.S. 792 (1973).</w:t>
      </w:r>
    </w:p>
    <w:p>
      <w:pPr>
        <w:spacing w:after="160" w:line="276" w:lineRule="auto"/>
      </w:pPr>
      <w:r>
        <w:rPr>
          <w:i/>
        </w:rPr>
        <w:t xml:space="preserve">St. Mary's Honor Center v. Hicks</w:t>
      </w:r>
      <w:r>
        <w:t xml:space="preserve">, 509 U.S. 502 (1993).</w:t>
      </w:r>
    </w:p>
    <w:p>
      <w:pPr>
        <w:spacing w:after="160" w:line="276" w:lineRule="auto"/>
      </w:pPr>
      <w:r>
        <w:t xml:space="preserve">Wilson, E. B. (1927). Probable inference, the law of succession, and statistical inference. </w:t>
      </w:r>
      <w:r>
        <w:rPr>
          <w:i/>
        </w:rPr>
        <w:t xml:space="preserve">Journal of the American Statistical Association, 22</w:t>
      </w:r>
      <w:r>
        <w:t xml:space="preserve">(158), 209-212.</w:t>
      </w:r>
    </w:p>
    <w:p>
      <w:pPr>
        <w:spacing w:after="160" w:line="276" w:lineRule="auto"/>
      </w:pPr>
      <w:r>
        <w:t xml:space="preserve">### Cited decisions</w:t>
      </w:r>
    </w:p>
    <w:p>
      <w:pPr>
        <w:spacing w:after="160" w:line="276" w:lineRule="auto"/>
      </w:pPr>
      <w:r>
        <w:t xml:space="preserve">United States Supreme Court decisions; United States Federal Labor Relations Authority decisions including AFGE Local 4012 and Social Security Administration, Denver, Colorado, 73 FLRA No. 106 (26 May 2023); and United Kingdom Employment Tribunal judgments including Gallon v Sigma Aldrich Ltd, Case No. 2500506/2017 (2017). The complete case list accompanies the data provenance statement.</w:t>
      </w:r>
    </w:p>
    <w:sectPr>
      <w:pgSz w:w="12240" w:h="15840"/>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Heading1">
    <w:name w:val="heading 1"/>
    <w:rPr>
      <w:rFonts w:ascii="Georgia" w:hAnsi="Georgia"/>
      <w:b/>
      <w:sz w:val="34"/>
    </w:rPr>
  </w:style>
  <w:style w:type="paragraph" w:styleId="Heading2">
    <w:name w:val="heading 2"/>
    <w:rPr>
      <w:rFonts w:ascii="Georgia" w:hAnsi="Georgia"/>
      <w:b/>
      <w:sz w:val="2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