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A Documentation-Quality Read for Public-Records Determinations: Convergent, Construct, and Discriminant Evidence from 32 Real FOIL Cases</w:t>
      </w:r>
    </w:p>
    <w:p>
      <w:pPr>
        <w:spacing w:after="160" w:line="276" w:lineRule="auto"/>
      </w:pPr>
      <w:r>
        <w:rPr>
          <w:b/>
        </w:rPr>
        <w:t xml:space="preserve">Stacyann Young</w:t>
      </w:r>
    </w:p>
    <w:p>
      <w:pPr>
        <w:spacing w:after="160" w:line="276" w:lineRule="auto"/>
      </w:pPr>
      <w:r>
        <w:t xml:space="preserve">Independent Researcher</w:t>
      </w:r>
    </w:p>
    <w:p>
      <w:pPr>
        <w:spacing w:after="160" w:line="276" w:lineRule="auto"/>
      </w:pPr>
      <w:r>
        <w:rPr>
          <w:b/>
        </w:rPr>
        <w:t xml:space="preserve">Phillip Wikes</w:t>
      </w:r>
    </w:p>
    <w:p>
      <w:pPr>
        <w:spacing w:after="160" w:line="276" w:lineRule="auto"/>
      </w:pPr>
      <w:r>
        <w:t xml:space="preserve">Creator of the Justification Review Standard; former Lead Civil Rights Officer, Maryland Commission on Civil Rights</w:t>
      </w:r>
    </w:p>
    <w:p>
      <w:pPr>
        <w:spacing w:after="160" w:line="276" w:lineRule="auto"/>
      </w:pPr>
      <w:r>
        <w:rPr>
          <w:b/>
        </w:rPr>
        <w:t xml:space="preserve">Author contributions.</w:t>
      </w:r>
      <w:r>
        <w:t xml:space="preserve"> S.Y. designed the public-records case protocol, selected and screened all 32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60" w:line="276" w:lineRule="auto"/>
      </w:pPr>
      <w:r>
        <w:rPr>
          <w:b/>
        </w:rPr>
        <w:t xml:space="preserve">Disclosure.</w:t>
      </w:r>
      <w:r>
        <w:t xml:space="preserve"> Both authors contribute in a personal professional capacity. S.Y. conducted this work voluntarily and independently, on public materials, and is named without institutional affiliation at her request. The views expressed are the authors' own and do not represent the position of any employer or institution. No funding was received for this work.</w:t>
      </w:r>
    </w:p>
    <w:p>
      <w:pPr>
        <w:pBdr>
          <w:bottom w:val="single" w:sz="6" w:space="1" w:color="BFBFBF"/>
        </w:pBdr>
      </w:pPr>
    </w:p>
    <w:p>
      <w:pPr>
        <w:pStyle w:val="Heading2"/>
        <w:spacing w:before="360" w:after="120"/>
      </w:pPr>
      <w:r>
        <w:t xml:space="preserve">Abstract</w:t>
      </w:r>
    </w:p>
    <w:p>
      <w:pPr>
        <w:spacing w:after="160" w:line="276" w:lineRule="auto"/>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60" w:line="276" w:lineRule="auto"/>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60" w:line="276" w:lineRule="auto"/>
      </w:pPr>
      <w:r>
        <w:t xml:space="preserve">Three findings, none of them about who won.</w:t>
      </w:r>
    </w:p>
    <w:p>
      <w:pPr>
        <w:spacing w:after="160" w:line="276" w:lineRule="auto"/>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60" w:line="276" w:lineRule="auto"/>
      </w:pPr>
      <w:r>
        <w:t xml:space="preserve">The read tracked reconstructability rather than outcome. Six of nine Needs work cases carry a note stating that the underlying record-level basis could not be rebuilt from the source, against none of eighteen Ready cases, and eleven of the eighteen Ready notes state the opposite outright (Fisher's exact, two-sided, p = 0.00028).</w:t>
      </w:r>
    </w:p>
    <w:p>
      <w:pPr>
        <w:spacing w:after="160" w:line="276" w:lineRule="auto"/>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60" w:line="276" w:lineRule="auto"/>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(7 of 9 flagged records drew an adverse finding against 2 of 13 passed records, p = 0.0073), which is consistent with that boundary condition rather than with a weak instrument.</w:t>
      </w:r>
    </w:p>
    <w:p>
      <w:pPr>
        <w:spacing w:after="160" w:line="276" w:lineRule="auto"/>
      </w:pPr>
      <w:r>
        <w:t xml:space="preserve">The pilot contributes a working protocol for measuring documentation quality in a public-records programme, a completed and citable 32-case set, and evidence that the read measures the property it claims to measure.</w:t>
      </w:r>
    </w:p>
    <w:p>
      <w:pPr>
        <w:spacing w:after="160" w:line="276" w:lineRule="auto"/>
      </w:pPr>
      <w:r>
        <w:rPr>
          <w:b/>
        </w:rPr>
        <w:t xml:space="preserve">Keywords:</w:t>
      </w:r>
      <w:r>
        <w:t xml:space="preserve"> FOIA; FOIL; public records; documentation quality; decision defensibility; records governance; administrative review; convergent validity.</w:t>
      </w:r>
    </w:p>
    <w:p>
      <w:pPr>
        <w:pBdr>
          <w:bottom w:val="single" w:sz="6" w:space="1" w:color="BFBFBF"/>
        </w:pBdr>
      </w:pPr>
    </w:p>
    <w:p>
      <w:pPr>
        <w:pStyle w:val="Heading2"/>
        <w:spacing w:before="360" w:after="120"/>
      </w:pPr>
      <w:r>
        <w:t xml:space="preserve">1. Introduction</w:t>
      </w:r>
    </w:p>
    <w:p>
      <w:pPr>
        <w:spacing w:after="160" w:line="276" w:lineRule="auto"/>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60" w:line="276" w:lineRule="auto"/>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60" w:line="276" w:lineRule="auto"/>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reduce reversals or audit findings, and may increase them.</w:t>
      </w:r>
    </w:p>
    <w:p>
      <w:pPr>
        <w:spacing w:after="160" w:line="276" w:lineRule="auto"/>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before="360" w:after="120"/>
      </w:pPr>
      <w:r>
        <w:t xml:space="preserve">2. Research questions</w:t>
      </w:r>
    </w:p>
    <w:p>
      <w:pPr>
        <w:ind w:left="360" w:hanging="360"/>
        <w:spacing w:after="60"/>
      </w:pPr>
      <w:r>
        <w:t xml:space="preserve">1. Can the review conditions be applied to real public-records material across document classes and jurisdictions, and do they produce a full range of reads?</w:t>
      </w:r>
    </w:p>
    <w:p>
      <w:pPr>
        <w:ind w:left="360" w:hanging="360"/>
        <w:spacing w:after="60"/>
      </w:pPr>
      <w:r>
        <w:t xml:space="preserve">2. Where an independent adjudicator has assessed the sufficiency of the same records, does the read agree?</w:t>
      </w:r>
    </w:p>
    <w:p>
      <w:pPr>
        <w:ind w:left="360" w:hanging="360"/>
        <w:spacing w:after="60"/>
      </w:pPr>
      <w:r>
        <w:t xml:space="preserve">3. What drives the read, and is it the property the instrument claims to measure?</w:t>
      </w:r>
    </w:p>
    <w:p>
      <w:pPr>
        <w:pStyle w:val="Heading2"/>
        <w:spacing w:before="360" w:after="120"/>
      </w:pPr>
      <w:r>
        <w:t xml:space="preserve">3. The instrument</w:t>
      </w:r>
    </w:p>
    <w:p>
      <w:pPr>
        <w:spacing w:after="160" w:line="276" w:lineRule="auto"/>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60" w:line="276" w:lineRule="auto"/>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60" w:line="276" w:lineRule="auto"/>
      </w:pPr>
      <w:r>
        <w:t xml:space="preserve">The risk the standard names is Decision Reconstruction Risk: the condition in which a record cannot, on its own terms, let an independent reviewer rebuild the basis for a consequential decision.</w:t>
      </w:r>
    </w:p>
    <w:p>
      <w:pPr>
        <w:pStyle w:val="Heading2"/>
        <w:spacing w:before="360" w:after="120"/>
      </w:pPr>
      <w:r>
        <w:t xml:space="preserve">4. Methods</w:t>
      </w:r>
    </w:p>
    <w:p>
      <w:pPr>
        <w:spacing w:after="160" w:line="276" w:lineRule="auto"/>
      </w:pPr>
      <w:r>
        <w:t xml:space="preserve">### 4.1 Design</w:t>
      </w:r>
    </w:p>
    <w:p>
      <w:pPr>
        <w:spacing w:after="160" w:line="276" w:lineRule="auto"/>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spacing w:after="160" w:line="276" w:lineRule="auto"/>
      </w:pPr>
      <w:r>
        <w:t xml:space="preserve">### 4.2 Materials</w:t>
      </w:r>
    </w:p>
    <w:p>
      <w:pPr>
        <w:spacing w:after="160" w:line="276" w:lineRule="auto"/>
      </w:pPr>
      <w:r>
        <w:t xml:space="preserve">Public material only, de-identified as to any private individual, each case carrying a public citation or source URL. No internal, confidential, or agency-privileged material was used.</w:t>
      </w:r>
    </w:p>
    <w:p>
      <w:pPr>
        <w:spacing w:after="160" w:line="276" w:lineRule="auto"/>
      </w:pPr>
      <w:r>
        <w:t xml:space="preserve">### 4.3 Sample</w:t>
      </w:r>
    </w:p>
    <w:p>
      <w:pPr>
        <w:spacing w:after="160" w:line="276" w:lineRule="auto"/>
      </w:pPr>
      <w:r>
        <w:t xml:space="preserve">The stated target was 20 to 30 cases with a deliberate spread of outcomes. The achieved sample is 32 cases from 32 distinct public sources, collected 26 June to 8 August 2026, spanning decisions issued between 2005 and 2026 across eleven distinct years.</w:t>
      </w:r>
    </w:p>
    <w:p>
      <w:pPr>
        <w:spacing w:after="160" w:line="276" w:lineRule="auto"/>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60" w:line="276" w:lineRule="auto"/>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spacing w:after="160" w:line="276" w:lineRule="auto"/>
      </w:pPr>
      <w:r>
        <w:t xml:space="preserve">### 4.4 Outcome coding</w:t>
      </w:r>
    </w:p>
    <w:p>
      <w:pPr>
        <w:spacing w:after="160" w:line="276" w:lineRule="auto"/>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spacing w:after="160" w:line="276" w:lineRule="auto"/>
      </w:pPr>
      <w:r>
        <w:t xml:space="preserve">### 4.5 Analyses</w:t>
      </w:r>
    </w:p>
    <w:p>
      <w:pPr>
        <w:spacing w:after="160" w:line="276" w:lineRule="auto"/>
      </w:pPr>
      <w:r>
        <w:t xml:space="preserve">Four analyses, in the order reported.</w:t>
      </w:r>
    </w:p>
    <w:p>
      <w:pPr>
        <w:spacing w:after="160" w:line="276" w:lineRule="auto"/>
      </w:pPr>
      <w:r>
        <w:t xml:space="preserve">Convergent validity compares the read against the independent adjudicator's own conclusion in the subset where an auditor examined the same agency's records. This is a concordance count rather than a significance test, because the comparison is between two instruments and not between groups.</w:t>
      </w:r>
    </w:p>
    <w:p>
      <w:pPr>
        <w:spacing w:after="160" w:line="276" w:lineRule="auto"/>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60" w:line="276" w:lineRule="auto"/>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60" w:line="276" w:lineRule="auto"/>
      </w:pPr>
      <w:r>
        <w:t xml:space="preserve">The specification check tests the read against appellate disposition. Cases where the source records no resolved disposition are excluded rather than assigned one.</w:t>
      </w:r>
    </w:p>
    <w:p>
      <w:pPr>
        <w:spacing w:after="160" w:line="276" w:lineRule="auto"/>
      </w:pPr>
      <w:r>
        <w:t xml:space="preserve">All reads were recorded by a single domain reviewer, who also recorded the outcomes, so no inter-rater agreement is estimated and the reads are not independent of the person assigning the outcome. Section 7 treats that as a limitation. All figures are computed from the stored data by a standard-library script, cited in the data-availability statement, which also carries the note-coding frame case by case.</w:t>
      </w:r>
    </w:p>
    <w:p>
      <w:pPr>
        <w:pStyle w:val="Heading2"/>
        <w:spacing w:before="360" w:after="120"/>
      </w:pPr>
      <w:r>
        <w:t xml:space="preserve">5. Results</w:t>
      </w:r>
    </w:p>
    <w:p>
      <w:pPr>
        <w:spacing w:after="160" w:line="276" w:lineRule="auto"/>
      </w:pPr>
      <w:r>
        <w:t xml:space="preserve">### 5.1 The instrument applied to real material</w:t>
      </w:r>
    </w:p>
    <w:p>
      <w:pPr>
        <w:spacing w:after="160" w:line="276" w:lineRule="auto"/>
      </w:pPr>
      <w:r>
        <w:t xml:space="preserve">Reads across the 32 cases: 18 Ready, 9 Needs work, 5 Gap. Documented outcomes: 15 determinations did not survive review, 7 contested without a recorded disposition, 5 sustained, 5 adverse audit findings.</w:t>
      </w:r>
    </w:p>
    <w:p>
      <w:pPr>
        <w:spacing w:after="160" w:line="276" w:lineRule="auto"/>
      </w:pPr>
      <w:r>
        <w:t xml:space="preserve">| Read | Sustained | Did not survive | Contested | Adverse audit | Total |</w:t>
      </w:r>
    </w:p>
    <w:p>
      <w:pPr>
        <w:spacing w:after="160" w:line="276" w:lineRule="auto"/>
      </w:pPr>
      <w:r>
        <w:t xml:space="preserve">|---|---|---|---|---|---|</w:t>
      </w:r>
    </w:p>
    <w:p>
      <w:pPr>
        <w:spacing w:after="160" w:line="276" w:lineRule="auto"/>
      </w:pPr>
      <w:r>
        <w:t xml:space="preserve">| Ready | 3 | 10 | 5 | 0 | 18 |</w:t>
      </w:r>
    </w:p>
    <w:p>
      <w:pPr>
        <w:spacing w:after="160" w:line="276" w:lineRule="auto"/>
      </w:pPr>
      <w:r>
        <w:t xml:space="preserve">| Needs work | 2 | 5 | 2 | 0 | 9 |</w:t>
      </w:r>
    </w:p>
    <w:p>
      <w:pPr>
        <w:spacing w:after="160" w:line="276" w:lineRule="auto"/>
      </w:pPr>
      <w:r>
        <w:t xml:space="preserve">| Gap | 0 | 0 | 0 | 5 | 5 |</w:t>
      </w:r>
    </w:p>
    <w:p>
      <w:pPr>
        <w:spacing w:after="160" w:line="276" w:lineRule="auto"/>
      </w:pPr>
      <w:r>
        <w:t xml:space="preserve">| </w:t>
      </w:r>
      <w:r>
        <w:rPr>
          <w:b/>
        </w:rPr>
        <w:t xml:space="preserve">Total</w:t>
      </w:r>
      <w:r>
        <w:t xml:space="preserve"> | </w:t>
      </w:r>
      <w:r>
        <w:rPr>
          <w:b/>
        </w:rPr>
        <w:t xml:space="preserve">5</w:t>
      </w:r>
      <w:r>
        <w:t xml:space="preserve"> | </w:t>
      </w:r>
      <w:r>
        <w:rPr>
          <w:b/>
        </w:rPr>
        <w:t xml:space="preserve">15</w:t>
      </w:r>
      <w:r>
        <w:t xml:space="preserve"> | </w:t>
      </w:r>
      <w:r>
        <w:rPr>
          <w:b/>
        </w:rPr>
        <w:t xml:space="preserve">7</w:t>
      </w:r>
      <w:r>
        <w:t xml:space="preserve"> | </w:t>
      </w:r>
      <w:r>
        <w:rPr>
          <w:b/>
        </w:rPr>
        <w:t xml:space="preserve">5</w:t>
      </w:r>
      <w:r>
        <w:t xml:space="preserve"> | </w:t>
      </w:r>
      <w:r>
        <w:rPr>
          <w:b/>
        </w:rPr>
        <w:t xml:space="preserve">32</w:t>
      </w:r>
      <w:r>
        <w:t xml:space="preserve"> |</w:t>
      </w:r>
    </w:p>
    <w:p>
      <w:pPr>
        <w:spacing w:after="160" w:line="276" w:lineRule="auto"/>
      </w:pPr>
      <w:r>
        <w:t xml:space="preserve">The conditions were applied to 32 live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spacing w:after="160" w:line="276" w:lineRule="auto"/>
      </w:pPr>
      <w:r>
        <w:t xml:space="preserve">### 5.2 The read agrees with independent auditors, five of five</w:t>
      </w:r>
    </w:p>
    <w:p>
      <w:pPr>
        <w:spacing w:after="160" w:line="276" w:lineRule="auto"/>
      </w:pPr>
      <w:r>
        <w:t xml:space="preserve">Five cases are compliance audits in which a state or city Comptroller had independently examined an agency's FOIL programme, using their own methodology and with no knowledge of this study.</w:t>
      </w:r>
    </w:p>
    <w:p>
      <w:pPr>
        <w:spacing w:after="160" w:line="276" w:lineRule="auto"/>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60" w:line="276" w:lineRule="auto"/>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60" w:line="276" w:lineRule="auto"/>
      </w:pPr>
      <w:r>
        <w:t xml:space="preserve">Two things this is not. It is not a test of statistical association, because the comparison is between instruments rather than between groups. And five cases are five cases. What it establishes is that the Gap read is reachable on real material, and that where an independent professional adjudicator assessed the same records, the two assessments matched.</w:t>
      </w:r>
    </w:p>
    <w:p>
      <w:pPr>
        <w:spacing w:after="160" w:line="276" w:lineRule="auto"/>
      </w:pPr>
      <w:r>
        <w:t xml:space="preserve">### 5.3 The read tracks reconstructability, not outcome</w:t>
      </w:r>
    </w:p>
    <w:p>
      <w:pPr>
        <w:spacing w:after="160" w:line="276" w:lineRule="auto"/>
      </w:pPr>
      <w:r>
        <w:t xml:space="preserve">Every read carries a contemporaneous note giving its basis, written before the outcome was known. Coding those notes for one question, whether the note states that the underlying record-level basis could not be rebuilt from the source, produces the clearest result in the study.</w:t>
      </w:r>
    </w:p>
    <w:p>
      <w:pPr>
        <w:spacing w:after="160" w:line="276" w:lineRule="auto"/>
      </w:pPr>
      <w:r>
        <w:t xml:space="preserve">| | Reconstructability failure stated | Not stated | Rate |</w:t>
      </w:r>
    </w:p>
    <w:p>
      <w:pPr>
        <w:spacing w:after="160" w:line="276" w:lineRule="auto"/>
      </w:pPr>
      <w:r>
        <w:t xml:space="preserve">|---|---|---|---|</w:t>
      </w:r>
    </w:p>
    <w:p>
      <w:pPr>
        <w:spacing w:after="160" w:line="276" w:lineRule="auto"/>
      </w:pPr>
      <w:r>
        <w:t xml:space="preserve">| Needs work (n = 9) | 6 | 3 | 66.7% |</w:t>
      </w:r>
    </w:p>
    <w:p>
      <w:pPr>
        <w:spacing w:after="160" w:line="276" w:lineRule="auto"/>
      </w:pPr>
      <w:r>
        <w:t xml:space="preserve">| Ready (n = 18) | 0 | 18 | 0.0% |</w:t>
      </w:r>
    </w:p>
    <w:p>
      <w:pPr>
        <w:spacing w:after="160" w:line="276" w:lineRule="auto"/>
      </w:pPr>
      <w:r>
        <w:t xml:space="preserve">Fisher's exact test, two-sided: p = 0.00028.</w:t>
      </w:r>
    </w:p>
    <w:p>
      <w:pPr>
        <w:spacing w:after="160" w:line="276" w:lineRule="auto"/>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eighteen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60" w:line="276" w:lineRule="auto"/>
      </w:pPr>
      <w:r>
        <w:t xml:space="preserve">No Needs work note contains an affirmative reconstructability statement, and no Ready note contains a reconstructability failure.</w:t>
      </w:r>
    </w:p>
    <w:p>
      <w:pPr>
        <w:spacing w:after="160" w:line="276" w:lineRule="auto"/>
      </w:pPr>
      <w:r>
        <w:t xml:space="preserve">That answers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spacing w:after="160" w:line="276" w:lineRule="auto"/>
      </w:pPr>
      <w:r>
        <w:t xml:space="preserve">### 5.4 The read separates document classes by how much basis they expose</w:t>
      </w:r>
    </w:p>
    <w:p>
      <w:pPr>
        <w:spacing w:after="160" w:line="276" w:lineRule="auto"/>
      </w:pPr>
      <w:r>
        <w:t xml:space="preserve">The same conclusion can be reached without relying on the reviewer's own words, using a structural feature of each source.</w:t>
      </w:r>
    </w:p>
    <w:p>
      <w:pPr>
        <w:spacing w:after="160" w:line="276" w:lineRule="auto"/>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60" w:line="276" w:lineRule="auto"/>
      </w:pPr>
      <w:r>
        <w:t xml:space="preserve">Grouping by that structural difference, sources that reproduce the determination text against sources that assessed the underlying records in camera or in aggregate:</w:t>
      </w:r>
    </w:p>
    <w:p>
      <w:pPr>
        <w:spacing w:after="160" w:line="276" w:lineRule="auto"/>
      </w:pPr>
      <w:r>
        <w:t xml:space="preserve">| | Ready | Not Ready |</w:t>
      </w:r>
    </w:p>
    <w:p>
      <w:pPr>
        <w:spacing w:after="160" w:line="276" w:lineRule="auto"/>
      </w:pPr>
      <w:r>
        <w:t xml:space="preserve">|---|---|---|</w:t>
      </w:r>
    </w:p>
    <w:p>
      <w:pPr>
        <w:spacing w:after="160" w:line="276" w:lineRule="auto"/>
      </w:pPr>
      <w:r>
        <w:t xml:space="preserve">| Reproduces the determination text (n = 7) | 6 | 1 |</w:t>
      </w:r>
    </w:p>
    <w:p>
      <w:pPr>
        <w:spacing w:after="160" w:line="276" w:lineRule="auto"/>
      </w:pPr>
      <w:r>
        <w:t xml:space="preserve">| Assessed the records in camera or in aggregate (n = 7) | 0 | 7 |</w:t>
      </w:r>
    </w:p>
    <w:p>
      <w:pPr>
        <w:spacing w:after="160" w:line="276" w:lineRule="auto"/>
      </w:pPr>
      <w:r>
        <w:t xml:space="preserve">Fisher's exact test, two-sided: p = 0.00466.</w:t>
      </w:r>
    </w:p>
    <w:p>
      <w:pPr>
        <w:spacing w:after="160" w:line="276" w:lineRule="auto"/>
      </w:pPr>
      <w:r>
        <w:t xml:space="preserve">Gap reads concentrate completely. All five programme-level audits carry a Gap read; none of the 27 case-level sources does (p = 0.0000050).</w:t>
      </w:r>
    </w:p>
    <w:p>
      <w:pPr>
        <w:spacing w:after="160" w:line="276" w:lineRule="auto"/>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spacing w:after="160" w:line="276" w:lineRule="auto"/>
      </w:pPr>
      <w:r>
        <w:t xml:space="preserve">### 5.5 Appellate outcome is a different variable</w:t>
      </w:r>
    </w:p>
    <w:p>
      <w:pPr>
        <w:spacing w:after="160" w:line="276" w:lineRule="auto"/>
      </w:pPr>
      <w:r>
        <w:t xml:space="preserve">The specification check tested the read against appellate disposition, on the 20 determinations where the source records a resolved one.</w:t>
      </w:r>
    </w:p>
    <w:p>
      <w:pPr>
        <w:spacing w:after="160" w:line="276" w:lineRule="auto"/>
      </w:pPr>
      <w:r>
        <w:t xml:space="preserve">| | Sustained | Did not survive | Sustained rate |</w:t>
      </w:r>
    </w:p>
    <w:p>
      <w:pPr>
        <w:spacing w:after="160" w:line="276" w:lineRule="auto"/>
      </w:pPr>
      <w:r>
        <w:t xml:space="preserve">|---|---|---|---|</w:t>
      </w:r>
    </w:p>
    <w:p>
      <w:pPr>
        <w:spacing w:after="160" w:line="276" w:lineRule="auto"/>
      </w:pPr>
      <w:r>
        <w:t xml:space="preserve">| Ready | 3 | 10 | 23.1% |</w:t>
      </w:r>
    </w:p>
    <w:p>
      <w:pPr>
        <w:spacing w:after="160" w:line="276" w:lineRule="auto"/>
      </w:pPr>
      <w:r>
        <w:t xml:space="preserve">| Needs work | 2 | 5 | 28.6% |</w:t>
      </w:r>
    </w:p>
    <w:p>
      <w:pPr>
        <w:spacing w:after="160" w:line="276" w:lineRule="auto"/>
      </w:pPr>
      <w:r>
        <w:t xml:space="preserve">Odds ratio 0.75. Fisher's exact test, two-sided: p = 1.000. Null.</w:t>
      </w:r>
    </w:p>
    <w:p>
      <w:pPr>
        <w:spacing w:after="160" w:line="276" w:lineRule="auto"/>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spacing w:after="160" w:line="276" w:lineRule="auto"/>
      </w:pPr>
      <w:r>
        <w:t xml:space="preserve">### 5.6 The same instrument, a different corpus, and the association appears</w:t>
      </w:r>
    </w:p>
    <w:p>
      <w:pPr>
        <w:spacing w:after="160" w:line="276" w:lineRule="auto"/>
      </w:pPr>
      <w:r>
        <w:t xml:space="preserve">That explanation can be tested rather than asserted. The same instrument has been applied in a second domain, employment and labour matters, by a different reviewer working independently of this study, on 22 cases from 22 distinct sources including United States Supreme Court decisions, Federal Labor Relations Authority decisions, and United Kingdom Employment Tribunal judgments. Those cases are not selected for published freedom-of-information controversy, and the base rate of adverse outcomes in that set is close to even rather than three to one.</w:t>
      </w:r>
    </w:p>
    <w:p>
      <w:pPr>
        <w:spacing w:after="160" w:line="276" w:lineRule="auto"/>
      </w:pPr>
      <w:r>
        <w:t xml:space="preserve">In that corpus the read is associated with the documented outcome. On the outcome coding that asks whether a matter drew an adverse finding, one of three codings that study reports with equal standing because no analysis plan fixing a primary coding was recorded before its data closed, records read as Needs work or Gap did so in 7 of 9 cases (77.8 percent, 95 percent Wilson interval 45.3 to 93.7) against 2 of 13 records read as Ready (15.4 percent, interval 4.3 to 42.2); Fisher's exact test, two-sided, p = 0.0073, odds ratio 19.25. On the coding that matches the specification check above, restricted to resolved dispositions, determinations read as Ready were sustained in 6 of 8 (75.0 percent, interval 40.9 to 92.9) against 1 of 8 for records read as incomplete (12.5 percent, interval 2.2 to 47.1); p = 0.041, odds ratio 21.0.</w:t>
      </w:r>
    </w:p>
    <w:p>
      <w:pPr>
        <w:spacing w:after="160" w:line="276" w:lineRule="auto"/>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2"/>
        <w:spacing w:before="360" w:after="120"/>
      </w:pPr>
      <w:r>
        <w:t xml:space="preserve">6. Discussion</w:t>
      </w:r>
    </w:p>
    <w:p>
      <w:pPr>
        <w:spacing w:after="160" w:line="276" w:lineRule="auto"/>
      </w:pPr>
      <w:r>
        <w:t xml:space="preserve">The pilot establishes three things.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60" w:line="276" w:lineRule="auto"/>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60" w:line="276" w:lineRule="auto"/>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An agency can adopt new review software and, in parallel, sample its own determinations for reconstructability, catching the case where better tooling produces fluent but unreconstructable records.</w:t>
      </w:r>
    </w:p>
    <w:p>
      <w:pPr>
        <w:spacing w:after="160" w:line="276" w:lineRule="auto"/>
      </w:pPr>
      <w:r>
        <w:t xml:space="preserve">For records officers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before="360" w:after="120"/>
      </w:pPr>
      <w:r>
        <w:t xml:space="preserve">7. Limitations</w:t>
      </w:r>
    </w:p>
    <w:p>
      <w:pPr>
        <w:spacing w:after="160" w:line="276" w:lineRule="auto"/>
      </w:pPr>
      <w:r>
        <w:t xml:space="preserve">All 32 reads were recorded by a single domain reviewer, so no inter-rater agreement is estimated and reader-dependence cannot be ruled out. The contemporaneous basis notes make the reasoning behind each read auditable by a second reader, which is the mitigation available in a single-reviewer design.</w:t>
      </w:r>
    </w:p>
    <w:p>
      <w:pPr>
        <w:spacing w:after="160" w:line="276" w:lineRule="auto"/>
      </w:pPr>
      <w:r>
        <w:t xml:space="preserve">The note coding in Section 5.3 is post-hoc rather than pre-registered, and is reported as construct evidence rather than as a confirmatory test.</w:t>
      </w:r>
    </w:p>
    <w:p>
      <w:pPr>
        <w:spacing w:after="160" w:line="276" w:lineRule="auto"/>
      </w:pPr>
      <w:r>
        <w:t xml:space="preserve">Cases were selected by the domain reviewer from published sources rather than sampled at random, and published sources over-represent contested determinations.</w:t>
      </w:r>
    </w:p>
    <w:p>
      <w:pPr>
        <w:spacing w:after="160" w:line="276" w:lineRule="auto"/>
      </w:pPr>
      <w:r>
        <w:t xml:space="preserve">The convergent-validity result rests on five audits, and in this corpus document class and read are not independent, which bounds Sections 5.2 and 5.4 to the readings given there.</w:t>
      </w:r>
    </w:p>
    <w:p>
      <w:pPr>
        <w:spacing w:after="160" w:line="276" w:lineRule="auto"/>
      </w:pPr>
      <w:r>
        <w:t xml:space="preserve">The corpus is two states, New York and Connecticut. Generalization beyond them is not claimed.</w:t>
      </w:r>
    </w:p>
    <w:p>
      <w:pPr>
        <w:spacing w:after="160" w:line="276" w:lineRule="auto"/>
      </w:pPr>
      <w:r>
        <w:t xml:space="preserve">The cross-domain observation in Section 5.6 is not a result of this study. It belongs to a separate employment-law corpus of 22 adjudicated matters collected by a different reviewer, is reported in full in a companion manuscript, and is cited here only as a test of the boundary condition proposed in Section 5.5.</w:t>
      </w:r>
    </w:p>
    <w:p>
      <w:pPr>
        <w:spacing w:after="160" w:line="276" w:lineRule="auto"/>
      </w:pPr>
      <w:r>
        <w:t xml:space="preserve">Seven cases record a contest without a resolved disposition, which reduces the specification check from 27 determinations to 20.</w:t>
      </w:r>
    </w:p>
    <w:p>
      <w:pPr>
        <w:spacing w:after="160" w:line="276" w:lineRule="auto"/>
      </w:pPr>
      <w:r>
        <w:t xml:space="preserve">The reviewer read the determination as reported in a published decision or audit, which is not identical to the file the original decision-maker produced.</w:t>
      </w:r>
    </w:p>
    <w:p>
      <w:pPr>
        <w:spacing w:after="160" w:line="276" w:lineRule="auto"/>
      </w:pPr>
      <w:r>
        <w:t xml:space="preserve">The standard remains in a validation phase and makes no proven-effectiveness claim.</w:t>
      </w:r>
    </w:p>
    <w:p>
      <w:pPr>
        <w:pStyle w:val="Heading2"/>
        <w:spacing w:before="360" w:after="120"/>
      </w:pPr>
      <w:r>
        <w:t xml:space="preserve">8. Conclusion</w:t>
      </w:r>
    </w:p>
    <w:p>
      <w:pPr>
        <w:spacing w:after="160" w:line="276" w:lineRule="auto"/>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60" w:line="276" w:lineRule="auto"/>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60" w:line="276" w:lineRule="auto"/>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variable the read demonstrably agrees with, and it is the one a records programme can act on.</w:t>
      </w:r>
    </w:p>
    <w:p>
      <w:pPr>
        <w:pStyle w:val="Heading2"/>
        <w:spacing w:before="360" w:after="120"/>
      </w:pPr>
      <w:r>
        <w:t xml:space="preserve">References</w:t>
      </w:r>
    </w:p>
    <w:p>
      <w:pPr>
        <w:spacing w:after="160" w:line="276" w:lineRule="auto"/>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60" w:line="276" w:lineRule="auto"/>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spacing w:after="160" w:line="276" w:lineRule="auto"/>
      </w:pPr>
      <w:r>
        <w:t xml:space="preserve">### Cited determinations, opinions, and audits</w:t>
      </w:r>
    </w:p>
    <w:p>
      <w:pPr>
        <w:spacing w:after="160" w:line="276" w:lineRule="auto"/>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60" w:line="276" w:lineRule="auto"/>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60" w:line="276" w:lineRule="auto"/>
      </w:pPr>
      <w:r>
        <w:t xml:space="preserve">Connecticut Freedom of Information Commission final decisions: FIC2012-276; FIC2015-122.</w:t>
      </w:r>
    </w:p>
    <w:p>
      <w:pPr>
        <w:spacing w:after="160" w:line="276" w:lineRule="auto"/>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before="360" w:after="120"/>
      </w:pPr>
      <w:r>
        <w:t xml:space="preserve">Data availability</w:t>
      </w:r>
    </w:p>
    <w:p>
      <w:pPr>
        <w:spacing w:after="160" w:line="276" w:lineRule="auto"/>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an analysis script using only the Python standard library, which also carries the full note-coding frame so the Section 5.3 coding can be audited case by case. The complete case set with citations and notes is available from the authors and will be released with publication.</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