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(Independent Financial Risk &amp; Model Validation Professional).</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an initial question a measurement programme must address: given an operational definition of DRR, can independent domain experts distinguish records that satisfy it from records that do not? If they cannot, a governance control resting on human review of that property would lack an adequate empirical basis.</w:t>
      </w:r>
    </w:p>
    <w:p>
      <w:pPr>
        <w:spacing w:after="140"/>
      </w:pPr>
      <w:r>
        <w:rPr>
          <w:b/>
        </w:rPr>
        <w:t xml:space="preserve">Methods.</w:t>
      </w:r>
      <w:r>
        <w:t xml:space="preserve"> A balanced corpus of 24 constructed, de-identified, AI-generated records (12 grounded, 12 unsupported) was judged by an international panel of independent experts against a pre-specified reference classification fixed before independent verification and independently reproduced by automated raters without access to it. Reviewers worked independently, blind to that classification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reference classification was 83.9 percent (95 percent CI 72.7 to 95.1 at participant level), with sensitivity 87.0 percent for unsupported records and specificity 80.7 percent for grounded ones. This clears the pre-registered detection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cannot reliably distinguish records whose reasoning is present from those whose reasoning is absent under the stated reviewer standpoint, then a governance control that depends on human review of that property would lack an adequate empirical basis.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automated raters without access to it,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to our knowledge,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automated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automated raters without access to that classification or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a separate set of credentialed professionals recruited from the same professional population and randomised between review methods, so its two conditions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Record-level generation provenance was not retained in a separate construction log sufficient to reconstruct the generation process for each record, including model and version, generation date, prompt, and extent of human editing.</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verification began,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 by automated raters.</w:t>
      </w:r>
      <w:r>
        <w:t xml:space="preserve"> The author-side classification was independently checked using three separate large-language-model instances applying the operational classification rule. These were automated raters, not human raters, and no expert or professional status is claimed for them. Each instance independently classified all 24 records without access to the intended labels or to the author-side classification, producing </w:t>
      </w:r>
      <w:r>
        <w:rPr>
          <w:b/>
        </w:rPr>
        <w:t xml:space="preserve">72 record-level classifications</w:t>
      </w:r>
      <w:r>
        <w:t xml:space="preserve">. The verification packet identified the task as verification of an answer key but did not provide the intended record-level classifications. All three model passes reproduced the intended classification on all 24 records, so the pre-specified adjudication condition was not triggered and no classification changed. The pre-registered procedure specified two independent passes with conditional adjudication; the executed procedure used three.</w:t>
      </w:r>
    </w:p>
    <w:p>
      <w:pPr>
        <w:spacing w:after="140"/>
      </w:pPr>
      <w:r>
        <w:rPr>
          <w:b/>
        </w:rPr>
        <w:t xml:space="preserve">What the automated check does not do.</w:t>
      </w:r>
      <w:r>
        <w:t xml:space="preserve"> The automated reference check demonstrates reproducibility of the operational classification rule across three independent model passes; it does not constitute independent human validation of the reference labels and does not establish criterion validity. No human replication of the reference classification has been performed.</w:t>
      </w:r>
    </w:p>
    <w:p>
      <w:pPr>
        <w:spacing w:after="140"/>
      </w:pPr>
      <w:r>
        <w:rPr>
          <w:b/>
        </w:rPr>
        <w:t xml:space="preserve">What this establishes, and what it does not.</w:t>
      </w:r>
      <w:r>
        <w:t xml:space="preserve"> Unanimous reproduction by automated raters without access to the intended labels rules out the objection that the reference classification was fitted to the reviewers' responses after the fact. It does not, however, remove the construct-dependence described below, and it does not rule out a weaker but real objection: the automated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automated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automated raters, and the record-by-record reproduction result. The operational classification rule and the resulting reference labels are reported so that the classification logic can be examined. The model implementation details and per-pass execution records were not retained in a form sufficient for independent reproduction of the three automated reference passes.</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The 95 percent confidence interval for the panel mean was calculated using a Student t interval across the sixteen reviewer accuracy scores, with reviewers as the independent sampling units.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each reviewer as the unit of observation and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on this corpus, while the record component is weakly identified and permits a materially larger effect within its profile-likelihood interval.</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was pre-specified at a minimum of 0.61, with a lower confidence bound of at least 0.41, for the reliability analyses reported by reviewer group in Section 6.5. Both parts were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invited experts whose credentials are recorded. The remainder are regular reviewers who entered through the open review page and declared a professional domain without identity verification. The two groups are reported separately because they were recruited by different routes; the split records the recruitment channel and is not a measure of professional expertise.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regular-reviewer coefficient is 0.623, and pooling the baseline labels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That study comprises 20 independent experts of the same professional standing as the detection panel,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cannot assume that the panel-level accuracy estimate represents that reviewer's individual performance.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Of the 25 reliability participants, 22 contributed labels under the five-condition instrument and entered the analysed reliability sample: eight invited experts and fourteen regular reviewers. Three regular reviewers contributed only under the unstructured baseline prompt and were excluded because those labels did not assess agreement under the five-condition instrument.</w:t>
      </w:r>
    </w:p>
    <w:p>
      <w:pPr>
        <w:spacing w:after="140"/>
      </w:pPr>
      <w:r>
        <w:t xml:space="preserve">Fifteen records carried at least one label under the five-condition instrument. Because agreement can only be estimated where a record was reviewed by more than one rater, the ten records with two or more raters formed the analysed reliability set. Those ten records carry 113 submitted determinations,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Regular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0.252 to 0.993</w:t>
            </w:r>
          </w:p>
        </w:tc>
        <w:tc>
          <w:tcPr>
            <w:tcW w:w="1337" w:type="dxa"/>
          </w:tcPr>
          <w:p>
            <w:pPr>
              <w:spacing w:after="0"/>
            </w:pPr>
            <w:r>
              <w:t xml:space="preserve">0.285 to 0.894</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regular-reviewer lower bound is 0.252.</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invited-expert group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provides preliminary evidence that the record-level distinction embodied in its review logic is operationally detectable; it is not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remains open; the study provides a basis for testing whether record-level reconstructability warrants a distinct measurement layer in AI governance.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automated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substantial variation in accuracy among the sixteen detection-panel experts, while the separate reliability sample did not meet the pre-registered lower-bound criterion.</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are the 24 constructed records; the full reference classification with the reason and evidentiary defect or support for each record and the JRS conditions implicated; the instructions given to the automated reference-classification instances and their record-by-record reproduction result; coded participant-level response data, subject to the study's access and confidentiality terms; and the analysis scripts that produce every figure in this paper. A record-level corpus construction log containing complete generation provenance was not retained, so model and version, generation date, prompt, and extent of human editing cannot be independently reconstructed for each record from the retained study materials.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Appendix B uses the 113 recorded five-condition determinations for descriptive condition-level reporting; the reliability coefficients in Section 6.5 use the deduplicated 104-label set specified by the reliability analysis rule.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(Bates et al., 2015; Barr et al., 2013):</w:t>
      </w:r>
    </w:p>
    <w:p>
      <w:pPr>
        <w:spacing w:after="140"/>
      </w:pPr>
      <w:r>
        <w:rPr>
          <w:rFonts w:ascii="Consolas" w:hAnsi="Consolas"/>
        </w:rPr>
        <w:t xml:space="preserve">`</w:t>
      </w:r>
      <w:r>
        <w:t xml:space="preserve"> correct ~ 1 + (1 | reviewer) + (1 | record) </w:t>
      </w: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reviewer variance is substantially larger than the estimated record variance on this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generated from the per-read analysis dataset using the archived analysis implementation, which returns aggregate results without exposing individual reviewer responses.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invited experts and seventeen regular reviewers, recorded labels on the shared record set. Twenty-two of them, eight experts and fourteen regular reviewers, worked under the five-condition instrument and are the analysed sample behind the coefficients in Section 6.5; the other three regular reviewers worked under the unstructured baseline prompt and their labels are excluded from those coefficients by the inclusion rule stated in that section. All 25 are credited here because all 25 did the work. Appendix B exists only because the five-condition raters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Those three groups comprise 61 participations held by </w:t>
      </w:r>
      <w:r>
        <w:rPr>
          <w:b/>
        </w:rPr>
        <w:t xml:space="preserve">58 distinct people</w:t>
      </w:r>
      <w:r>
        <w:t xml:space="preserve">: three of the reliability raters are the same individuals as three members of the detection panel, each holding a separate code in each study. 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one has, and her judgments remain in the analysis unnamed at her election.</w:t>
      </w:r>
    </w:p>
    <w:p>
      <w:pPr>
        <w:spacing w:after="140"/>
      </w:pPr>
      <w:r>
        <w:rPr>
          <w:b/>
        </w:rPr>
        <w:t xml:space="preserve">Named contributors, as at 29 August 2026.</w:t>
      </w:r>
      <w:r>
        <w:t xml:space="preserve"> Recognition is by each contributor's own election, recorded through the confirmation mechanism described in the data availability statement, and each name and description below stands as that person entered it. Thirty contributors to this programme have confirmed and twenty-six elected to be named:</w:t>
      </w:r>
    </w:p>
    <w:p>
      <w:pPr>
        <w:numPr>
          <w:ilvl w:val="0"/>
          <w:numId w:val="1"/>
        </w:numPr>
        <w:spacing w:after="60"/>
      </w:pPr>
      <w:r>
        <w:t xml:space="preserve">Adesh Sharma, Data and AI Governance Leader | IAPP AIGP CIPT, Digital Frontier Partners</w:t>
      </w:r>
    </w:p>
    <w:p>
      <w:pPr>
        <w:numPr>
          <w:ilvl w:val="0"/>
          <w:numId w:val="1"/>
        </w:numPr>
        <w:spacing w:after="60"/>
      </w:pPr>
      <w:r>
        <w:t xml:space="preserve">Andres Lage Freire, Operational AI Governance Lead &amp; Responsible AI Architect, Independent Consultant</w:t>
      </w:r>
    </w:p>
    <w:p>
      <w:pPr>
        <w:numPr>
          <w:ilvl w:val="0"/>
          <w:numId w:val="1"/>
        </w:numPr>
        <w:spacing w:after="60"/>
      </w:pPr>
      <w:r>
        <w:t xml:space="preserve">Andrey Ekhmenin, Founder, ANDEKS™; Independent Governance Assessment and Diagnostics</w:t>
      </w:r>
    </w:p>
    <w:p>
      <w:pPr>
        <w:numPr>
          <w:ilvl w:val="0"/>
          <w:numId w:val="1"/>
        </w:numPr>
        <w:spacing w:after="60"/>
      </w:pPr>
      <w:r>
        <w:t xml:space="preserve">Andrzej Skulski, Founder | AI Governance &amp; Decision Systems, Dom Ciszy – Resonance Lab</w:t>
      </w:r>
    </w:p>
    <w:p>
      <w:pPr>
        <w:numPr>
          <w:ilvl w:val="0"/>
          <w:numId w:val="1"/>
        </w:numPr>
        <w:spacing w:after="60"/>
      </w:pPr>
      <w:r>
        <w:t xml:space="preserve">Boris Khazin, AI Governance, Digital Risk and GRC leader; ClearView MRI; ex-EPAM Global Head of DRM/GRC, Khazin Consulting LLC</w:t>
      </w:r>
    </w:p>
    <w:p>
      <w:pPr>
        <w:numPr>
          <w:ilvl w:val="0"/>
          <w:numId w:val="1"/>
        </w:numPr>
        <w:spacing w:after="60"/>
      </w:pPr>
      <w:r>
        <w:t xml:space="preserve">Candid Opris, Founder and Managing Partner, Opris &amp; Associates; two decades in AI and data governance and digital trust, Opris &amp; Associates Inc.</w:t>
      </w:r>
    </w:p>
    <w:p>
      <w:pPr>
        <w:numPr>
          <w:ilvl w:val="0"/>
          <w:numId w:val="1"/>
        </w:numPr>
        <w:spacing w:after="60"/>
      </w:pPr>
      <w:r>
        <w:t xml:space="preserve">Donavine Smith, Board &amp; Executive Advisor | Frontier AI Strategy &amp; Governance, Independent</w:t>
      </w:r>
    </w:p>
    <w:p>
      <w:pPr>
        <w:numPr>
          <w:ilvl w:val="0"/>
          <w:numId w:val="1"/>
        </w:numPr>
        <w:spacing w:after="60"/>
      </w:pPr>
      <w:r>
        <w:t xml:space="preserve">Dr. Gabriela Bar, attorney at law, AI ethics advisor, Gabriela Bar Law &amp; AI</w:t>
      </w:r>
    </w:p>
    <w:p>
      <w:pPr>
        <w:numPr>
          <w:ilvl w:val="0"/>
          <w:numId w:val="1"/>
        </w:numPr>
        <w:spacing w:after="60"/>
      </w:pPr>
      <w:r>
        <w:t xml:space="preserve">Dr Nitin Deshpande, Chief Human Resources Officer, Cooper Corporation Pvt Limited</w:t>
      </w:r>
    </w:p>
    <w:p>
      <w:pPr>
        <w:numPr>
          <w:ilvl w:val="0"/>
          <w:numId w:val="1"/>
        </w:numPr>
        <w:spacing w:after="60"/>
      </w:pPr>
      <w:r>
        <w:t xml:space="preserve">Dr Sharon Licqurish, PhD, CEO, Chief Scientist and AI Governance Architect, AIIP, AIIP, Ontocore Licencing Authority LLC</w:t>
      </w:r>
    </w:p>
    <w:p>
      <w:pPr>
        <w:numPr>
          <w:ilvl w:val="0"/>
          <w:numId w:val="1"/>
        </w:numPr>
        <w:spacing w:after="60"/>
      </w:pPr>
      <w:r>
        <w:t xml:space="preserve">Franciscus C Schouten, AI Governance and Assurance, The AI Non-Delegation Doctrine</w:t>
      </w:r>
    </w:p>
    <w:p>
      <w:pPr>
        <w:numPr>
          <w:ilvl w:val="0"/>
          <w:numId w:val="1"/>
        </w:numPr>
        <w:spacing w:after="60"/>
      </w:pPr>
      <w:r>
        <w:t xml:space="preserve">Greg Searle, AI Governance and Model Behaviour Researcher, Anypoint Pty Ltd</w:t>
      </w:r>
    </w:p>
    <w:p>
      <w:pPr>
        <w:numPr>
          <w:ilvl w:val="0"/>
          <w:numId w:val="1"/>
        </w:numPr>
        <w:spacing w:after="60"/>
      </w:pPr>
      <w:r>
        <w:t xml:space="preserve">Hekim Colpan, AI Governance and Compliance Manager | Data Protection Manager | ISO/IEC 42001 Auditor</w:t>
      </w:r>
    </w:p>
    <w:p>
      <w:pPr>
        <w:numPr>
          <w:ilvl w:val="0"/>
          <w:numId w:val="1"/>
        </w:numPr>
        <w:spacing w:after="60"/>
      </w:pPr>
      <w:r>
        <w:t xml:space="preserve">Jake McDonough, AI Governance, SAEONYX Global Holdings, LLC</w:t>
      </w:r>
    </w:p>
    <w:p>
      <w:pPr>
        <w:numPr>
          <w:ilvl w:val="0"/>
          <w:numId w:val="1"/>
        </w:numPr>
        <w:spacing w:after="60"/>
      </w:pPr>
      <w:r>
        <w:t xml:space="preserve">Joseph Mungai, AI Governance and public policy researcher, Independent Researcher - Kenya</w:t>
      </w:r>
    </w:p>
    <w:p>
      <w:pPr>
        <w:numPr>
          <w:ilvl w:val="0"/>
          <w:numId w:val="1"/>
        </w:numPr>
        <w:spacing w:after="60"/>
      </w:pPr>
      <w:r>
        <w:t xml:space="preserve">MacKenzie McCowan, AI Governance Specialist, PhD candidate, Lecturer, Atomi; The University of Sydney; Avondale University</w:t>
      </w:r>
    </w:p>
    <w:p>
      <w:pPr>
        <w:numPr>
          <w:ilvl w:val="0"/>
          <w:numId w:val="1"/>
        </w:numPr>
        <w:spacing w:after="60"/>
      </w:pPr>
      <w:r>
        <w:t xml:space="preserve">Muhammad Dauda, Programme leadership, sustainability and governance; UN SDSN Youth Nigeria; Miva Open University; PgMP, UN SDSN NIGERIA</w:t>
      </w:r>
    </w:p>
    <w:p>
      <w:pPr>
        <w:numPr>
          <w:ilvl w:val="0"/>
          <w:numId w:val="1"/>
        </w:numPr>
        <w:spacing w:after="60"/>
      </w:pPr>
      <w:r>
        <w:t xml:space="preserve">Nigel Hee, AI Ethics, Safety and Governance, University of Glasgow</w:t>
      </w:r>
    </w:p>
    <w:p>
      <w:pPr>
        <w:numPr>
          <w:ilvl w:val="0"/>
          <w:numId w:val="1"/>
        </w:numPr>
        <w:spacing w:after="60"/>
      </w:pPr>
      <w:r>
        <w:t xml:space="preserve">Olabanji Lawal, Operations and Records management, ALTV</w:t>
      </w:r>
    </w:p>
    <w:p>
      <w:pPr>
        <w:numPr>
          <w:ilvl w:val="0"/>
          <w:numId w:val="1"/>
        </w:numPr>
        <w:spacing w:after="60"/>
      </w:pPr>
      <w:r>
        <w:t xml:space="preserve">Priyam Dhamankar, Ethics and Compliance Leader, Cummins India; 17+ years legal, compliance and investigations, Cummins India Limited</w:t>
      </w:r>
    </w:p>
    <w:p>
      <w:pPr>
        <w:numPr>
          <w:ilvl w:val="0"/>
          <w:numId w:val="1"/>
        </w:numPr>
        <w:spacing w:after="60"/>
      </w:pPr>
      <w:r>
        <w:t xml:space="preserve">Rahul Potdar, Independent Director; Corporate Governance, Risk Management and ESG Strategy; Board Adviser; Leontra Technologies; IIM Raipur</w:t>
      </w:r>
    </w:p>
    <w:p>
      <w:pPr>
        <w:numPr>
          <w:ilvl w:val="0"/>
          <w:numId w:val="1"/>
        </w:numPr>
        <w:spacing w:after="60"/>
      </w:pPr>
      <w:r>
        <w:t xml:space="preserve">Sagarika Banerjee, AI Governance and Software QA Leader; ISO/IEC 42001, NIST AI RMF, On sabbatical till March 2027 for world travel</w:t>
      </w:r>
    </w:p>
    <w:p>
      <w:pPr>
        <w:numPr>
          <w:ilvl w:val="0"/>
          <w:numId w:val="1"/>
        </w:numPr>
        <w:spacing w:after="60"/>
      </w:pPr>
      <w:r>
        <w:t xml:space="preserve">Saurabh Nanda, General Manager, APAC, Healthcare</w:t>
      </w:r>
    </w:p>
    <w:p>
      <w:pPr>
        <w:numPr>
          <w:ilvl w:val="0"/>
          <w:numId w:val="1"/>
        </w:numPr>
        <w:spacing w:after="60"/>
      </w:pPr>
      <w:r>
        <w:t xml:space="preserve">Stacyann Young, Public records and FOIL practice, Independent Researcher</w:t>
      </w:r>
    </w:p>
    <w:p>
      <w:pPr>
        <w:numPr>
          <w:ilvl w:val="0"/>
          <w:numId w:val="1"/>
        </w:numPr>
        <w:spacing w:after="60"/>
      </w:pPr>
      <w:r>
        <w:t xml:space="preserve">SungSoo In, Independent Researcher; Founder, Athena Governance Architecture</w:t>
      </w:r>
    </w:p>
    <w:p>
      <w:pPr>
        <w:numPr>
          <w:ilvl w:val="0"/>
          <w:numId w:val="1"/>
        </w:numPr>
        <w:spacing w:after="60"/>
      </w:pPr>
      <w:r>
        <w:t xml:space="preserve">Wendy Ann Martel, Founder and Strategic Advisor, Data, Privacy &amp; AI Governance, Evata Consulting</w:t>
      </w:r>
    </w:p>
    <w:p>
      <w:pPr>
        <w:spacing w:after="140"/>
      </w:pPr>
      <w:r>
        <w:t xml:space="preserve">Four further contributors confirmed and elected not to be named. Their judgments are counted in every figure reported here and they appear nowhere by name. Confirmations remain open, so this is a record of the elections received to date rather than of who took part.</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xmlns:r="http://schemas.openxmlformats.org/officeDocument/2006/relationships">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style w:type="character" w:styleId="Hyperlink">
    <w:name w:val="Hyperlink"/>
    <w:rPr>
      <w:color w:val="0563C1"/>
      <w:u w:val="single"/>
    </w:rPr>
  </w:style>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