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120"/>
      </w:pPr>
      <w:r>
        <w:t xml:space="preserve">Employment records article: submission memo</w:t>
      </w:r>
    </w:p>
    <w:p>
      <w:pPr>
        <w:spacing w:after="160" w:line="276" w:lineRule="auto"/>
      </w:pPr>
      <w:r>
        <w:rPr>
          <w:b/>
        </w:rPr>
        <w:t xml:space="preserve">INTERNAL. Do not send to a publisher and do not attach to the manuscript.</w:t>
      </w:r>
      <w:r>
        <w:t xml:space="preserve"> The</w:t>
      </w:r>
    </w:p>
    <w:p>
      <w:pPr>
        <w:spacing w:after="160" w:line="276" w:lineRule="auto"/>
      </w:pPr>
      <w:r>
        <w:t xml:space="preserve">manuscript carries no venue line by design.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1. Byline, as it now stands</w:t>
      </w:r>
    </w:p>
    <w:p>
      <w:pPr>
        <w:spacing w:after="160" w:line="276" w:lineRule="auto"/>
      </w:pPr>
      <w:r>
        <w:t xml:space="preserve">**Tanvi Pokhriyal first, Kyle McMullan second, Phillip Wikes last as senior author. Ubayet</w:t>
      </w:r>
    </w:p>
    <w:p>
      <w:pPr>
        <w:spacing w:after="160" w:line="276" w:lineRule="auto"/>
      </w:pPr>
      <w:r>
        <w:t xml:space="preserve">Hossain, FRM, is a named Contributor rather than a co-author.** Changed 2026-08-21 on the</w:t>
      </w:r>
    </w:p>
    <w:p>
      <w:pPr>
        <w:spacing w:after="160" w:line="276" w:lineRule="auto"/>
      </w:pPr>
      <w:r>
        <w:t xml:space="preserve">owner's instruction: the research is Pokhriyal's, so she leads.</w:t>
      </w:r>
    </w:p>
    <w:p>
      <w:pPr>
        <w:spacing w:after="160" w:line="276" w:lineRule="auto"/>
      </w:pPr>
      <w:r>
        <w:rPr>
          <w:b/>
        </w:rPr>
        <w:t xml:space="preserve">ONE COMMITMENT TO SETTLE BEFORE THIS GOES OUT.</w:t>
      </w:r>
      <w:r>
        <w:t xml:space="preserve"> Hossain was promised co-authorship in</w:t>
      </w:r>
    </w:p>
    <w:p>
      <w:pPr>
        <w:spacing w:after="160" w:line="276" w:lineRule="auto"/>
      </w:pPr>
      <w:r>
        <w:t xml:space="preserve">writing, twice. `BusinessEthics_Article_Draft.md:10` reads "Co-authorship final on his</w:t>
      </w:r>
    </w:p>
    <w:p>
      <w:pPr>
        <w:spacing w:after="160" w:line="276" w:lineRule="auto"/>
      </w:pPr>
      <w:r>
        <w:t xml:space="preserve">review and approval of this manuscript", and `Author_Review_Package_2026-08-01.md:58` reads</w:t>
      </w:r>
    </w:p>
    <w:p>
      <w:pPr>
        <w:spacing w:after="160" w:line="276" w:lineRule="auto"/>
      </w:pPr>
      <w:r>
        <w:t xml:space="preserve">"Your co-authorship is final on your review and approval of this manuscript, **as we</w:t>
      </w:r>
    </w:p>
    <w:p>
      <w:pPr>
        <w:spacing w:after="160" w:line="276" w:lineRule="auto"/>
      </w:pPr>
      <w:r>
        <w:t xml:space="preserve">agreed**." He also holds honor `H-2026-38`, whose public citation names him "a co-author of</w:t>
      </w:r>
    </w:p>
    <w:p>
      <w:pPr>
        <w:spacing w:after="160" w:line="276" w:lineRule="auto"/>
      </w:pPr>
      <w:r>
        <w:t xml:space="preserve">the methodology."</w:t>
      </w:r>
    </w:p>
    <w:p>
      <w:pPr>
        <w:spacing w:after="160" w:line="276" w:lineRule="auto"/>
      </w:pPr>
      <w:r>
        <w:t xml:space="preserve">Moving him to Contributor is the owner's call and the credit itself is undiminished: his</w:t>
      </w:r>
    </w:p>
    <w:p>
      <w:pPr>
        <w:spacing w:after="160" w:line="276" w:lineRule="auto"/>
      </w:pPr>
      <w:r>
        <w:t xml:space="preserve">methodology is described in full in the byline block and again in Section 4. **But it walks</w:t>
      </w:r>
    </w:p>
    <w:p>
      <w:pPr>
        <w:spacing w:after="160" w:line="276" w:lineRule="auto"/>
      </w:pPr>
      <w:r>
        <w:t xml:space="preserve">back a written promise that used the words "as we agreed", and he should hear it from</w:t>
      </w:r>
    </w:p>
    <w:p>
      <w:pPr>
        <w:spacing w:after="160" w:line="276" w:lineRule="auto"/>
      </w:pPr>
      <w:r>
        <w:t xml:space="preserve">Phillip directly before he reads it on a title page.** The manuscript's declaration stub</w:t>
      </w:r>
    </w:p>
    <w:p>
      <w:pPr>
        <w:spacing w:after="160" w:line="276" w:lineRule="auto"/>
      </w:pPr>
      <w:r>
        <w:t xml:space="preserve">requires him to confirm he accepts contributor credit. If he would rather keep</w:t>
      </w:r>
    </w:p>
    <w:p>
      <w:pPr>
        <w:spacing w:after="160" w:line="276" w:lineRule="auto"/>
      </w:pPr>
      <w:r>
        <w:t xml:space="preserve">co-authorship, restoring him is a one-line change and the honor citation stays accurate.</w:t>
      </w:r>
    </w:p>
    <w:p>
      <w:pPr>
        <w:spacing w:after="160" w:line="276" w:lineRule="auto"/>
      </w:pPr>
      <w:r>
        <w:rPr>
          <w:b/>
        </w:rPr>
        <w:t xml:space="preserve">Stacyann Young is not an author here.</w:t>
      </w:r>
      <w:r>
        <w:t xml:space="preserve"> She is first author of the companion</w:t>
      </w:r>
    </w:p>
    <w:p>
      <w:pPr>
        <w:spacing w:after="160" w:line="276" w:lineRule="auto"/>
      </w:pPr>
      <w:r>
        <w:t xml:space="preserve">public-records paper and is cited once, in the scope note. `scripts/verify_employment_article.py` asserts the byline positionally on every run and fails if the order changes or if Young reappears in it.</w:t>
      </w:r>
    </w:p>
    <w:p>
      <w:pPr>
        <w:spacing w:after="160" w:line="276" w:lineRule="auto"/>
      </w:pPr>
      <w:r>
        <w:rPr>
          <w:b/>
        </w:rPr>
        <w:t xml:space="preserve">Kyle McMullan is a co-author and Section 6.4 is his.</w:t>
      </w:r>
      <w:r>
        <w:t xml:space="preserve"> It is written out in full in the</w:t>
      </w:r>
    </w:p>
    <w:p>
      <w:pPr>
        <w:spacing w:after="160" w:line="276" w:lineRule="auto"/>
      </w:pPr>
      <w:r>
        <w:t xml:space="preserve">manuscript with his four bracketed placeholder asks removed, because internal instructions</w:t>
      </w:r>
    </w:p>
    <w:p>
      <w:pPr>
        <w:spacing w:after="160" w:line="276" w:lineRule="auto"/>
      </w:pPr>
      <w:r>
        <w:t xml:space="preserve">to a co-author cannot ship inside a submission. **His de-identified examples are still</w:t>
      </w:r>
    </w:p>
    <w:p>
      <w:pPr>
        <w:spacing w:after="160" w:line="276" w:lineRule="auto"/>
      </w:pPr>
      <w:r>
        <w:t xml:space="preserve">wanted** and are the one thing that would materially improve that section.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2. Venue changed, and why the design objection goes away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Primary: </w:t>
      </w:r>
      <w:r>
        <w:t xml:space="preserve">ISACA Journal</w:t>
      </w:r>
      <w:r>
        <w:rPr>
          <w:i/>
        </w:rPr>
        <w:t xml:space="preserve">.</w:t>
      </w:r>
      <w:r>
        <w:t xml:space="preserve">*</w:t>
      </w:r>
    </w:p>
    <w:p>
      <w:pPr>
        <w:spacing w:after="160" w:line="276" w:lineRule="auto"/>
      </w:pPr>
      <w:r>
        <w:t xml:space="preserve">The design question and the venue question are the same question, and separating them was</w:t>
      </w:r>
    </w:p>
    <w:p>
      <w:pPr>
        <w:spacing w:after="160" w:line="276" w:lineRule="auto"/>
      </w:pPr>
      <w:r>
        <w:t xml:space="preserve">my error.</w:t>
      </w:r>
    </w:p>
    <w:p>
      <w:pPr>
        <w:spacing w:after="160" w:line="276" w:lineRule="auto"/>
      </w:pPr>
      <w:r>
        <w:rPr>
          <w:b/>
        </w:rPr>
        <w:t xml:space="preserve">In an academic criterion-validity paper</w:t>
      </w:r>
      <w:r>
        <w:t xml:space="preserve">, a reviewer who applies the review and also</w:t>
      </w:r>
    </w:p>
    <w:p>
      <w:pPr>
        <w:spacing w:after="160" w:line="276" w:lineRule="auto"/>
      </w:pPr>
      <w:r>
        <w:t xml:space="preserve">records the outcome is a limitation that has to be confessed, because the claim is that one</w:t>
      </w:r>
    </w:p>
    <w:p>
      <w:pPr>
        <w:spacing w:after="160" w:line="276" w:lineRule="auto"/>
      </w:pPr>
      <w:r>
        <w:t xml:space="preserve">measurement predicts an independent one. That framing forced a confession into the paper and</w:t>
      </w:r>
    </w:p>
    <w:p>
      <w:pPr>
        <w:spacing w:after="160" w:line="276" w:lineRule="auto"/>
      </w:pPr>
      <w:r>
        <w:t xml:space="preserve">into a co-author email, and it was the wrong framing for this evidence.</w:t>
      </w:r>
    </w:p>
    <w:p>
      <w:pPr>
        <w:spacing w:after="160" w:line="276" w:lineRule="auto"/>
      </w:pPr>
      <w:r>
        <w:t xml:space="preserve">**In a practitioner audit journal, a single-practitioner field pilot is the normal unit of</w:t>
      </w:r>
    </w:p>
    <w:p>
      <w:pPr>
        <w:spacing w:after="160" w:line="276" w:lineRule="auto"/>
      </w:pPr>
      <w:r>
        <w:t xml:space="preserve">contribution, not a defect.** One qualified specialist works a real caseload, applies a</w:t>
      </w:r>
    </w:p>
    <w:p>
      <w:pPr>
        <w:spacing w:after="160" w:line="276" w:lineRule="auto"/>
      </w:pPr>
      <w:r>
        <w:t xml:space="preserve">review, records what happened, and reports it. Nobody asks a Chief Audit Executive writing</w:t>
      </w:r>
    </w:p>
    <w:p>
      <w:pPr>
        <w:spacing w:after="160" w:line="276" w:lineRule="auto"/>
      </w:pPr>
      <w:r>
        <w:t xml:space="preserve">up 22 examinations to have had a second examiner shadow every file. The paper now makes a</w:t>
      </w:r>
    </w:p>
    <w:p>
      <w:pPr>
        <w:spacing w:after="160" w:line="276" w:lineRule="auto"/>
      </w:pPr>
      <w:r>
        <w:t xml:space="preserve">field-evidence claim at that level and says so throughout, so the design is stated in the</w:t>
      </w:r>
    </w:p>
    <w:p>
      <w:pPr>
        <w:spacing w:after="160" w:line="276" w:lineRule="auto"/>
      </w:pPr>
      <w:r>
        <w:t xml:space="preserve">methods as what the study is rather than apologised for in the limitations.</w:t>
      </w:r>
    </w:p>
    <w:p>
      <w:pPr>
        <w:spacing w:after="160" w:line="276" w:lineRule="auto"/>
      </w:pPr>
      <w:r>
        <w:t xml:space="preserve">| Criterion | ISACA Journal |</w:t>
      </w:r>
    </w:p>
    <w:p>
      <w:pPr>
        <w:spacing w:after="160" w:line="276" w:lineRule="auto"/>
      </w:pPr>
      <w:r>
        <w:t xml:space="preserve">|---|---|</w:t>
      </w:r>
    </w:p>
    <w:p>
      <w:pPr>
        <w:spacing w:after="160" w:line="276" w:lineRule="auto"/>
      </w:pPr>
      <w:r>
        <w:t xml:space="preserve">| Readership | Audit, governance, risk and control practitioners. </w:t>
      </w:r>
      <w:r>
        <w:rPr>
          <w:b/>
        </w:rPr>
        <w:t xml:space="preserve">Kyle McMullan's Section 6.4, written by a former Chief Auditor of AML and Financial Crimes International at Citi, is aimed exactly here</w:t>
      </w:r>
      <w:r>
        <w:t xml:space="preserve"> |</w:t>
      </w:r>
    </w:p>
    <w:p>
      <w:pPr>
        <w:spacing w:after="160" w:line="276" w:lineRule="auto"/>
      </w:pPr>
      <w:r>
        <w:t xml:space="preserve">| Claim level | Practitioner field evidence, which is what 22 cases from one specialist's caseload supports |</w:t>
      </w:r>
    </w:p>
    <w:p>
      <w:pPr>
        <w:spacing w:after="160" w:line="276" w:lineRule="auto"/>
      </w:pPr>
      <w:r>
        <w:t xml:space="preserve">| Design fit | Single-practitioner pilots are standard contributed work at this venue |</w:t>
      </w:r>
    </w:p>
    <w:p>
      <w:pPr>
        <w:spacing w:after="160" w:line="276" w:lineRule="auto"/>
      </w:pPr>
      <w:r>
        <w:t xml:space="preserve">| Cost | Contributed practitioner articles. </w:t>
      </w:r>
      <w:r>
        <w:rPr>
          <w:b/>
        </w:rPr>
        <w:t xml:space="preserve">No article processing charge</w:t>
      </w:r>
      <w:r>
        <w:t xml:space="preserve"> |</w:t>
      </w:r>
    </w:p>
    <w:p>
      <w:pPr>
        <w:spacing w:after="160" w:line="276" w:lineRule="auto"/>
      </w:pPr>
      <w:r>
        <w:t xml:space="preserve">| Collision | ISACA is the second alternate on the single-authored EDPACS piece, which keeps EDPACS as its primary. Conditional only |</w:t>
      </w:r>
    </w:p>
    <w:p>
      <w:pPr>
        <w:spacing w:after="160" w:line="276" w:lineRule="auto"/>
      </w:pPr>
      <w:r>
        <w:t xml:space="preserve">| Authors | An HR practitioner, a Chief Audit Executive and a governance advisor is a natural author set for this readership, which it is not for a management-theory journal |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Second: </w:t>
      </w:r>
      <w:r>
        <w:t xml:space="preserve">EDPACS</w:t>
      </w:r>
      <w:r>
        <w:rPr>
          <w:i/>
        </w:rPr>
        <w:t xml:space="preserve"> (Taylor &amp; Francis).</w:t>
      </w:r>
      <w:r>
        <w:t xml:space="preserve">* Same practitioner logic, real ISSN, indexed, and</w:t>
      </w:r>
    </w:p>
    <w:p>
      <w:pPr>
        <w:spacing w:after="160" w:line="276" w:lineRule="auto"/>
      </w:pPr>
      <w:r>
        <w:t xml:space="preserve">`Backup_Article_EDPACS_DRR_Control.md:7` already records that it "explicitly publishes</w:t>
      </w:r>
    </w:p>
    <w:p>
      <w:pPr>
        <w:spacing w:after="160" w:line="276" w:lineRule="auto"/>
      </w:pPr>
      <w:r>
        <w:t xml:space="preserve">contributed practitioner work on audit and control topics". If this paper takes EDPACS, the</w:t>
      </w:r>
    </w:p>
    <w:p>
      <w:pPr>
        <w:spacing w:after="160" w:line="276" w:lineRule="auto"/>
      </w:pPr>
      <w:r>
        <w:t xml:space="preserve">single-authored DRR piece moves down its own ladder.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Third: </w:t>
      </w:r>
      <w:r>
        <w:t xml:space="preserve">Business Information Review</w:t>
      </w:r>
      <w:r>
        <w:rPr>
          <w:i/>
        </w:rPr>
        <w:t xml:space="preserve"> (SAGE).</w:t>
      </w:r>
      <w:r>
        <w:t xml:space="preserve">* Practitioner-academic bridge.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Dropped: </w:t>
      </w:r>
      <w:r>
        <w:t xml:space="preserve">Journal of Business Ethics</w:t>
      </w:r>
      <w:r>
        <w:rPr>
          <w:i/>
        </w:rPr>
        <w:t xml:space="preserve">.</w:t>
      </w:r>
      <w:r>
        <w:rPr>
          <w:i/>
        </w:rPr>
        <w:t xml:space="preserve"> FT50 and ABS 4</w:t>
      </w:r>
      <w:r>
        <w:t xml:space="preserve">, normative theory and large-scale</w:t>
      </w:r>
    </w:p>
    <w:p>
      <w:pPr>
        <w:spacing w:after="160" w:line="276" w:lineRule="auto"/>
      </w:pPr>
      <w:r>
        <w:t xml:space="preserve">empirical work. It would desk-reject, and the version of this paper that could survive there</w:t>
      </w:r>
    </w:p>
    <w:p>
      <w:pPr>
        <w:spacing w:after="160" w:line="276" w:lineRule="auto"/>
      </w:pPr>
      <w:r>
        <w:t xml:space="preserve">does not exist because the data does not support it.</w:t>
      </w:r>
    </w:p>
    <w:p>
      <w:pPr>
        <w:spacing w:after="160" w:line="276" w:lineRule="auto"/>
      </w:pPr>
      <w:r>
        <w:t xml:space="preserve">*</w:t>
      </w:r>
      <w:r>
        <w:rPr>
          <w:i/>
        </w:rPr>
        <w:t xml:space="preserve">Dropped: </w:t>
      </w:r>
      <w:r>
        <w:t xml:space="preserve">Records Management Journal</w:t>
      </w:r>
      <w:r>
        <w:rPr>
          <w:i/>
        </w:rPr>
        <w:t xml:space="preserve">.</w:t>
      </w:r>
      <w:r>
        <w:t xml:space="preserve">* A peer-reviewed venue puts the paper back in the</w:t>
      </w:r>
    </w:p>
    <w:p>
      <w:pPr>
        <w:spacing w:after="160" w:line="276" w:lineRule="auto"/>
      </w:pPr>
      <w:r>
        <w:t xml:space="preserve">frame where the single-practitioner design is a limitation to defend rather than the study's</w:t>
      </w:r>
    </w:p>
    <w:p>
      <w:pPr>
        <w:spacing w:after="160" w:line="276" w:lineRule="auto"/>
      </w:pPr>
      <w:r>
        <w:t xml:space="preserve">form. It stays free for the EDPACS piece.</w:t>
      </w:r>
    </w:p>
    <w:p>
      <w:pPr>
        <w:spacing w:after="160" w:line="276" w:lineRule="auto"/>
      </w:pPr>
      <w:r>
        <w:rPr>
          <w:b/>
        </w:rPr>
        <w:t xml:space="preserve">Estimated acceptance: 65 to 80 percent at ISACA Journal.</w:t>
      </w:r>
      <w:r>
        <w:t xml:space="preserve"> Higher than any academic option</w:t>
      </w:r>
    </w:p>
    <w:p>
      <w:pPr>
        <w:spacing w:after="160" w:line="276" w:lineRule="auto"/>
      </w:pPr>
      <w:r>
        <w:t xml:space="preserve">because the claim now matches the evidence and the design matches the venue's normal unit of</w:t>
      </w:r>
    </w:p>
    <w:p>
      <w:pPr>
        <w:spacing w:after="160" w:line="276" w:lineRule="auto"/>
      </w:pPr>
      <w:r>
        <w:t xml:space="preserve">work. Reasoned judgment, not measured.</w:t>
      </w:r>
    </w:p>
    <w:p>
      <w:pPr>
        <w:pStyle w:val="Heading2"/>
        <w:spacing w:before="360" w:after="120"/>
      </w:pPr>
      <w:r>
        <w:t xml:space="preserve">3. One thing found on 2026-08-21 that has to stay in</w:t>
      </w:r>
    </w:p>
    <w:p>
      <w:pPr>
        <w:spacing w:after="160" w:line="276" w:lineRule="auto"/>
      </w:pPr>
      <w:r>
        <w:t xml:space="preserve">`bench_outcomes` stores **one `created_at` per case, not separate review and outcome</w:t>
      </w:r>
    </w:p>
    <w:p>
      <w:pPr>
        <w:spacing w:after="160" w:line="276" w:lineRule="auto"/>
      </w:pPr>
      <w:r>
        <w:t xml:space="preserve">timestamps**. The protocol requires the review to be recorded before the outcome is</w:t>
      </w:r>
    </w:p>
    <w:p>
      <w:pPr>
        <w:spacing w:after="160" w:line="276" w:lineRule="auto"/>
      </w:pPr>
      <w:r>
        <w:t xml:space="preserve">consulted, and the reviewer's practice was to do that, but **the sequence cannot be evidenced</w:t>
      </w:r>
    </w:p>
    <w:p>
      <w:pPr>
        <w:spacing w:after="160" w:line="276" w:lineRule="auto"/>
      </w:pPr>
      <w:r>
        <w:t xml:space="preserve">from the system record.** The manuscript now says so in Section 5.1 and in the provenance</w:t>
      </w:r>
    </w:p>
    <w:p>
      <w:pPr>
        <w:spacing w:after="160" w:line="276" w:lineRule="auto"/>
      </w:pPr>
      <w:r>
        <w:t xml:space="preserve">statement.</w:t>
      </w:r>
    </w:p>
    <w:p>
      <w:pPr>
        <w:spacing w:after="160" w:line="276" w:lineRule="auto"/>
      </w:pPr>
      <w:r>
        <w:t xml:space="preserve">This is not a criticism of anyone's work. It is a database schema that was never asked to</w:t>
      </w:r>
    </w:p>
    <w:p>
      <w:pPr>
        <w:spacing w:after="160" w:line="276" w:lineRule="auto"/>
      </w:pPr>
      <w:r>
        <w:t xml:space="preserve">carry the distinction. </w:t>
      </w:r>
      <w:r>
        <w:rPr>
          <w:b/>
        </w:rPr>
        <w:t xml:space="preserve">A larger study should timestamp the two steps separately</w:t>
      </w:r>
      <w:r>
        <w:t xml:space="preserve">, and the</w:t>
      </w:r>
    </w:p>
    <w:p>
      <w:pPr>
        <w:spacing w:after="160" w:line="276" w:lineRule="auto"/>
      </w:pPr>
      <w:r>
        <w:t xml:space="preserve">manuscript says that too. Do not remove it: a practitioner reviewer will not care, and an</w:t>
      </w:r>
    </w:p>
    <w:p>
      <w:pPr>
        <w:spacing w:after="160" w:line="276" w:lineRule="auto"/>
      </w:pPr>
      <w:r>
        <w:t xml:space="preserve">academic reviewer who found it later would care a great deal.</w:t>
      </w:r>
    </w:p>
    <w:p>
      <w:pPr>
        <w:pStyle w:val="Heading2"/>
        <w:spacing w:before="360" w:after="120"/>
      </w:pPr>
      <w:r>
        <w:t xml:space="preserve">4. Portfolio, so nothing collides</w:t>
      </w:r>
    </w:p>
    <w:p>
      <w:pPr>
        <w:spacing w:after="160" w:line="276" w:lineRule="auto"/>
      </w:pPr>
      <w:r>
        <w:t xml:space="preserve">| Piece | Venue | Status |</w:t>
      </w:r>
    </w:p>
    <w:p>
      <w:pPr>
        <w:spacing w:after="160" w:line="276" w:lineRule="auto"/>
      </w:pPr>
      <w:r>
        <w:t xml:space="preserve">|---|---|---|</w:t>
      </w:r>
    </w:p>
    <w:p>
      <w:pPr>
        <w:spacing w:after="160" w:line="276" w:lineRule="auto"/>
      </w:pPr>
      <w:r>
        <w:t xml:space="preserve">| "When the Record Cannot Speak for Itself" | CEP Magazine (SCCE) | </w:t>
      </w:r>
      <w:r>
        <w:rPr>
          <w:b/>
        </w:rPr>
        <w:t xml:space="preserve">ACCEPTED 2026-07-16, November issue, in copy-editing.</w:t>
      </w:r>
      <w:r>
        <w:t xml:space="preserve"> Phillip solo. Do not duplicate at Compliance Today (`MASTER_TRACKER.md:580`) |</w:t>
      </w:r>
    </w:p>
    <w:p>
      <w:pPr>
        <w:spacing w:after="160" w:line="276" w:lineRule="auto"/>
      </w:pPr>
      <w:r>
        <w:t xml:space="preserve">| Detection, international expert study | AI and Ethics | FINAL5, frozen |</w:t>
      </w:r>
    </w:p>
    <w:p>
      <w:pPr>
        <w:spacing w:after="160" w:line="276" w:lineRule="auto"/>
      </w:pPr>
      <w:r>
        <w:t xml:space="preserve">| Arm B / comparison | AI and Ethics | Collision noted at `Article1_Submission_Plan.md:38` |</w:t>
      </w:r>
    </w:p>
    <w:p>
      <w:pPr>
        <w:spacing w:after="160" w:line="276" w:lineRule="auto"/>
      </w:pPr>
      <w:r>
        <w:t xml:space="preserve">| Evidentiary Deficit (Colpan and Wikes) | Corporate Compliance Insights | Locked, blocked on headshots |</w:t>
      </w:r>
    </w:p>
    <w:p>
      <w:pPr>
        <w:spacing w:after="160" w:line="276" w:lineRule="auto"/>
      </w:pPr>
      <w:r>
        <w:t xml:space="preserve">| DRR as a record-level control | EDPACS, then ISACA, then RMJ, then BIR | Single-authored |</w:t>
      </w:r>
    </w:p>
    <w:p>
      <w:pPr>
        <w:spacing w:after="160" w:line="276" w:lineRule="auto"/>
      </w:pPr>
      <w:r>
        <w:t xml:space="preserve">| Rungs 1 and 2 | Journal of Responsible Technology | Per `Article1_Submission_Plan.md:42` |</w:t>
      </w:r>
    </w:p>
    <w:p>
      <w:pPr>
        <w:spacing w:after="160" w:line="276" w:lineRule="auto"/>
      </w:pPr>
      <w:r>
        <w:t xml:space="preserve">| Public records, Young first | Journal of Civic Information | Cited by this paper in 6.3 |</w:t>
      </w:r>
    </w:p>
    <w:p>
      <w:pPr>
        <w:spacing w:after="160" w:line="276" w:lineRule="auto"/>
      </w:pPr>
      <w:r>
        <w:t xml:space="preserve">| </w:t>
      </w:r>
      <w:r>
        <w:rPr>
          <w:b/>
        </w:rPr>
        <w:t xml:space="preserve">This paper</w:t>
      </w:r>
      <w:r>
        <w:t xml:space="preserve"> | </w:t>
      </w:r>
      <w:r>
        <w:rPr>
          <w:b/>
        </w:rPr>
        <w:t xml:space="preserve">ISACA Journal</w:t>
      </w:r>
      <w:r>
        <w:t xml:space="preserve"> | This memo |</w:t>
      </w:r>
    </w:p>
    <w:p>
      <w:pPr>
        <w:pStyle w:val="Heading2"/>
        <w:spacing w:before="360" w:after="120"/>
      </w:pPr>
      <w:r>
        <w:t xml:space="preserve">5. Order of operations</w:t>
      </w:r>
    </w:p>
    <w:p>
      <w:pPr>
        <w:ind w:left="360" w:hanging="360"/>
        <w:spacing w:after="60"/>
      </w:pPr>
      <w:r>
        <w:t xml:space="preserve">1. </w:t>
      </w:r>
      <w:r>
        <w:rPr>
          <w:b/>
        </w:rPr>
        <w:t xml:space="preserve">Ubayet Hossain, first and separately.</w:t>
      </w:r>
      <w:r>
        <w:t xml:space="preserve"> Tell him about the change from co-author to</w:t>
      </w:r>
    </w:p>
    <w:p>
      <w:pPr>
        <w:spacing w:after="160" w:line="276" w:lineRule="auto"/>
      </w:pPr>
      <w:r>
        <w:t xml:space="preserve">   Contributor yourself, before he sees the title page. Then confirm Section 4 represents</w:t>
      </w:r>
    </w:p>
    <w:p>
      <w:pPr>
        <w:spacing w:after="160" w:line="276" w:lineRule="auto"/>
      </w:pPr>
      <w:r>
        <w:t xml:space="preserve">   his methodology accurately, including the new condition-level agreement figures.</w:t>
      </w:r>
    </w:p>
    <w:p>
      <w:pPr>
        <w:ind w:left="360" w:hanging="360"/>
        <w:spacing w:after="60"/>
      </w:pPr>
      <w:r>
        <w:t xml:space="preserve">2. </w:t>
      </w:r>
      <w:r>
        <w:rPr>
          <w:b/>
        </w:rPr>
        <w:t xml:space="preserve">Tanvi Pokhriyal.</w:t>
      </w:r>
      <w:r>
        <w:t xml:space="preserve"> Send `Email_Tanvi_Pokhriyal_2026-08-21.md`. It asks for her printed</w:t>
      </w:r>
    </w:p>
    <w:p>
      <w:pPr>
        <w:spacing w:after="160" w:line="276" w:lineRule="auto"/>
      </w:pPr>
      <w:r>
        <w:t xml:space="preserve">   name, confirmation of Sections 5.1 and 5.2, both declarations, and her agreement to first</w:t>
      </w:r>
    </w:p>
    <w:p>
      <w:pPr>
        <w:spacing w:after="160" w:line="276" w:lineRule="auto"/>
      </w:pPr>
      <w:r>
        <w:t xml:space="preserve">   authorship, in one reply.</w:t>
      </w:r>
    </w:p>
    <w:p>
      <w:pPr>
        <w:ind w:left="360" w:hanging="360"/>
        <w:spacing w:after="60"/>
      </w:pPr>
      <w:r>
        <w:t xml:space="preserve">3. </w:t>
      </w:r>
      <w:r>
        <w:rPr>
          <w:b/>
        </w:rPr>
        <w:t xml:space="preserve">Kyle McMullan.</w:t>
      </w:r>
      <w:r>
        <w:t xml:space="preserve"> Send `Email_Kyle_McMullan_2026-08-21.md`. It asks for his printed</w:t>
      </w:r>
    </w:p>
    <w:p>
      <w:pPr>
        <w:spacing w:after="160" w:line="276" w:lineRule="auto"/>
      </w:pPr>
      <w:r>
        <w:t xml:space="preserve">   name, his 6.4 pass, his optional de-identified examples, and both declarations, in one</w:t>
      </w:r>
    </w:p>
    <w:p>
      <w:pPr>
        <w:spacing w:after="160" w:line="276" w:lineRule="auto"/>
      </w:pPr>
      <w:r>
        <w:t xml:space="preserve">   reply. His authorship condition is that pass (`BusinessEthics_Article_Draft.md:9`).</w:t>
      </w:r>
    </w:p>
    <w:p>
      <w:pPr>
        <w:ind w:left="360" w:hanging="360"/>
        <w:spacing w:after="60"/>
      </w:pPr>
      <w:r>
        <w:t xml:space="preserve">4. Replace the `[REQUIRED_ENV_PARAM]` block with their own words. Do not write it for them.</w:t>
      </w:r>
    </w:p>
    <w:p>
      <w:pPr>
        <w:ind w:left="360" w:hanging="360"/>
        <w:spacing w:after="60"/>
      </w:pPr>
      <w:r>
        <w:t xml:space="preserve">5. Confirm ISACA Journal's current contributed-article word range and submission route.</w:t>
      </w:r>
    </w:p>
    <w:p>
      <w:pPr>
        <w:ind w:left="360" w:hanging="360"/>
        <w:spacing w:after="60"/>
      </w:pPr>
      <w:r>
        <w:t xml:space="preserve">6. Submit.</w:t>
      </w:r>
    </w:p>
    <w:p>
      <w:pPr>
        <w:pStyle w:val="Heading2"/>
        <w:spacing w:before="360" w:after="120"/>
      </w:pPr>
      <w:r>
        <w:t xml:space="preserve">6. What a reviewer will attack, and the answer</w:t>
      </w:r>
    </w:p>
    <w:p>
      <w:pPr>
        <w:spacing w:after="160" w:line="276" w:lineRule="auto"/>
      </w:pPr>
      <w:r>
        <w:rPr>
          <w:b/>
        </w:rPr>
        <w:t xml:space="preserve">"Your reviewer scored her own outcomes."</w:t>
      </w:r>
      <w:r>
        <w:t xml:space="preserve"> In a practitioner venue this is unlikely to be</w:t>
      </w:r>
    </w:p>
    <w:p>
      <w:pPr>
        <w:spacing w:after="160" w:line="276" w:lineRule="auto"/>
      </w:pPr>
      <w:r>
        <w:t xml:space="preserve">raised at all, because it describes how field pilots work. If it is raised: the paper states</w:t>
      </w:r>
    </w:p>
    <w:p>
      <w:pPr>
        <w:spacing w:after="160" w:line="276" w:lineRule="auto"/>
      </w:pPr>
      <w:r>
        <w:t xml:space="preserve">the design in Section 5.1 as what the study is, the claim level is set to match, and a</w:t>
      </w:r>
    </w:p>
    <w:p>
      <w:pPr>
        <w:spacing w:after="160" w:line="276" w:lineRule="auto"/>
      </w:pPr>
      <w:r>
        <w:t xml:space="preserve">second reviewer is scoped into the next study. **Do not apologise for it and do not describe</w:t>
      </w:r>
    </w:p>
    <w:p>
      <w:pPr>
        <w:spacing w:after="160" w:line="276" w:lineRule="auto"/>
      </w:pPr>
      <w:r>
        <w:t xml:space="preserve">it as a weakness.** It is the study's form.</w:t>
      </w:r>
    </w:p>
    <w:p>
      <w:pPr>
        <w:spacing w:after="160" w:line="276" w:lineRule="auto"/>
      </w:pPr>
      <w:r>
        <w:rPr>
          <w:b/>
        </w:rPr>
        <w:t xml:space="preserve">"You chose the coding that worked."</w:t>
      </w:r>
      <w:r>
        <w:t xml:space="preserve"> The paper says so itself, in Section 5.2 and again</w:t>
      </w:r>
    </w:p>
    <w:p>
      <w:pPr>
        <w:spacing w:after="160" w:line="276" w:lineRule="auto"/>
      </w:pPr>
      <w:r>
        <w:t xml:space="preserve">in Section 9. All three codings are reported with equal standing and the null is among</w:t>
      </w:r>
    </w:p>
    <w:p>
      <w:pPr>
        <w:spacing w:after="160" w:line="276" w:lineRule="auto"/>
      </w:pPr>
      <w:r>
        <w:t xml:space="preserve">them. That disclosure is worth more than the p-value it costs.</w:t>
      </w:r>
    </w:p>
    <w:p>
      <w:pPr>
        <w:spacing w:after="160" w:line="276" w:lineRule="auto"/>
      </w:pPr>
      <w:r>
        <w:rPr>
          <w:b/>
        </w:rPr>
        <w:t xml:space="preserve">"Your companion corpus found nothing."</w:t>
      </w:r>
      <w:r>
        <w:t xml:space="preserve"> Section 6.3 is the answer and the Woolf test was</w:t>
      </w:r>
    </w:p>
    <w:p>
      <w:pPr>
        <w:spacing w:after="160" w:line="276" w:lineRule="auto"/>
      </w:pPr>
      <w:r>
        <w:t xml:space="preserve">run before the section was written, not after: Q = 2.550 on 1 df, p = 0.110. The two</w:t>
      </w:r>
    </w:p>
    <w:p>
      <w:pPr>
        <w:spacing w:after="160" w:line="276" w:lineRule="auto"/>
      </w:pPr>
      <w:r>
        <w:t xml:space="preserve">corpora are statistically consistent. **A null in a companion study, reported and explained,</w:t>
      </w:r>
    </w:p>
    <w:p>
      <w:pPr>
        <w:spacing w:after="160" w:line="276" w:lineRule="auto"/>
      </w:pPr>
      <w:r>
        <w:t xml:space="preserve">is a strength here rather than a liability.**</w:t>
      </w:r>
    </w:p>
    <w:p>
      <w:pPr>
        <w:spacing w:after="160" w:line="276" w:lineRule="auto"/>
      </w:pPr>
      <w:r>
        <w:rPr>
          <w:b/>
        </w:rPr>
        <w:t xml:space="preserve">"Reliability is below your own floor at condition level."</w:t>
      </w:r>
      <w:r>
        <w:t xml:space="preserve"> Conceded in Section 4 in</w:t>
      </w:r>
    </w:p>
    <w:p>
      <w:pPr>
        <w:spacing w:after="160" w:line="276" w:lineRule="auto"/>
      </w:pPr>
      <w:r>
        <w:t xml:space="preserve">terms. The determination agrees better than any single condition composing it, no claim of</w:t>
      </w:r>
    </w:p>
    <w:p>
      <w:pPr>
        <w:spacing w:after="160" w:line="276" w:lineRule="auto"/>
      </w:pPr>
      <w:r>
        <w:t xml:space="preserve">separate condition reliability is made, and the earlier per-condition discrimination</w:t>
      </w:r>
    </w:p>
    <w:p>
      <w:pPr>
        <w:spacing w:after="160" w:line="276" w:lineRule="auto"/>
      </w:pPr>
      <w:r>
        <w:t xml:space="preserve">analysis is explicitly withdrawn as circular.</w:t>
      </w:r>
    </w:p>
    <w:p>
      <w:pPr>
        <w:pStyle w:val="Heading2"/>
        <w:spacing w:before="360" w:after="120"/>
      </w:pPr>
      <w:r>
        <w:t xml:space="preserve">7. Do not</w:t>
      </w:r>
    </w:p>
    <w:p>
      <w:pPr>
        <w:spacing w:after="160" w:line="276" w:lineRule="auto"/>
      </w:pPr>
      <w:r>
        <w:t xml:space="preserve">- Do not put the venue back into the manuscript.</w:t>
      </w:r>
    </w:p>
    <w:p>
      <w:pPr>
        <w:spacing w:after="160" w:line="276" w:lineRule="auto"/>
      </w:pPr>
      <w:r>
        <w:t xml:space="preserve">- Do not restore the withdrawn per-condition analysis.</w:t>
      </w:r>
    </w:p>
    <w:p>
      <w:pPr>
        <w:spacing w:after="160" w:line="276" w:lineRule="auto"/>
      </w:pPr>
      <w:r>
        <w:t xml:space="preserve">- Do not add Stacyann Young to this paper.</w:t>
      </w:r>
    </w:p>
    <w:p>
      <w:pPr>
        <w:spacing w:after="160" w:line="276" w:lineRule="auto"/>
      </w:pPr>
      <w:r>
        <w:t xml:space="preserve">- Do not move Hossain to Contributor on the title page before he has been told directly.</w:t>
      </w:r>
    </w:p>
    <w:p>
      <w:pPr>
        <w:spacing w:after="160" w:line="276" w:lineRule="auto"/>
      </w:pPr>
      <w:r>
        <w:t xml:space="preserve">- Do not reopen the pilot to reach 30 cases. It closed at 22 on 29 July and adding cases</w:t>
      </w:r>
    </w:p>
    <w:p>
      <w:pPr>
        <w:spacing w:after="160" w:line="276" w:lineRule="auto"/>
      </w:pPr>
      <w:r>
        <w:t xml:space="preserve">  after the analysis is known is a worse defect than n=22.</w:t>
      </w:r>
    </w:p>
    <w:p>
      <w:pPr>
        <w:spacing w:after="160" w:line="276" w:lineRule="auto"/>
      </w:pPr>
      <w:r>
        <w:t xml:space="preserve">- Do not submit this and the single-authored DRR piece to the same venue.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2"/>
      </w:rPr>
    </w:rPrDefault>
  </w:docDefaults>
  <w:style w:type="paragraph" w:styleId="Heading1">
    <w:name w:val="heading 1"/>
    <w:rPr>
      <w:rFonts w:ascii="Georgia" w:hAnsi="Georgia"/>
      <w:b/>
      <w:sz w:val="34"/>
    </w:rPr>
  </w:style>
  <w:style w:type="paragraph" w:styleId="Heading2">
    <w:name w:val="heading 2"/>
    <w:rPr>
      <w:rFonts w:ascii="Georgia" w:hAnsi="Georgia"/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