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Why AI-assisted records that cannot explain themselves have become a transatlantic governance problem, and what accountable documentation now requires.</w:t>
      </w:r>
    </w:p>
    <w:p>
      <w:pPr>
        <w:spacing w:after="30"/>
      </w:pPr>
      <w:r>
        <w:rPr>
          <w:rFonts w:ascii="Georgia" w:cs="Georgia" w:eastAsia="Georgia" w:hAnsi="Georgia"/>
          <w:b/>
          <w:bCs/>
          <w:color w:val="141414"/>
          <w:sz w:val="26"/>
          <w:szCs w:val="26"/>
        </w:rPr>
        <w:t xml:space="preserve">By Gabriela Zanfir-Fortuna and Phillip Wikes</w:t>
      </w:r>
    </w:p>
    <w:p>
      <w:pPr>
        <w:pBdr>
          <w:bottom w:val="single" w:color="7A5E28" w:sz="6" w:space="8"/>
        </w:pBdr>
        <w:spacing w:after="130"/>
      </w:pPr>
      <w:r>
        <w:rPr>
          <w:rFonts w:ascii="Georgia" w:cs="Georgia" w:eastAsia="Georgia" w:hAnsi="Georgia"/>
          <w:i/>
          <w:iCs/>
          <w:color w:val="555555"/>
          <w:sz w:val="18"/>
          <w:szCs w:val="18"/>
        </w:rPr>
        <w:t xml:space="preserve">Gabriela Zanfir-Fortuna, PhD, Vice President for Global Privacy at the Future of Privacy Forum, advising on global data-protection law and accountability.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30"/>
        <w:jc w:val="both"/>
      </w:pPr>
      <w:r>
        <w:rPr>
          <w:rFonts w:ascii="Georgia" w:cs="Georgia" w:eastAsia="Georgia" w:hAnsi="Georgia"/>
          <w:color w:val="1a1a1a"/>
          <w:sz w:val="21"/>
          <w:szCs w:val="21"/>
        </w:rPr>
        <w:t xml:space="preserve">Every consequential decision is eventually questioned. The only uncertainty is whether the record will still be capable of explaining and defending it.</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independently explain why a consequential decision was made. It is not a technology problem in the usual sense. It is an accountability problem, and accountability is where law, ethics, and trust meet. DRR is not simply a documentation problem. It is a governance failure: when the reasoning behind a consequential decision can no longer be independently reconstructed, accountability shifts from contemporaneous evidence to memory, opinion, or institutional credibility, which is precisely the condition modern governance seeks to avoid.</w:t>
      </w:r>
    </w:p>
    <w:p>
      <w:pPr>
        <w:spacing w:after="130"/>
        <w:jc w:val="both"/>
      </w:pPr>
      <w:r>
        <w:rPr>
          <w:rFonts w:ascii="Georgia" w:cs="Georgia" w:eastAsia="Georgia" w:hAnsi="Georgia"/>
          <w:color w:val="1a1a1a"/>
          <w:sz w:val="21"/>
          <w:szCs w:val="21"/>
        </w:rPr>
        <w:t xml:space="preserve">One of us spent more than a decade reading such records after the fact, for a civil rights agency, and saw the same pattern repeat: the decision was often sound, and the record could not show why. The other has spent a career helping organizations build governance that anticipates regulation rather than reacting to it. From both vantage points the conclusion is the same. As AI drafts more of the documents behind consequential decisions, the evidence that would let anyone reconstruct those decisions is quietly disappearing.</w:t>
      </w:r>
    </w:p>
    <w:p>
      <w:pPr>
        <w:spacing w:after="130"/>
        <w:jc w:val="both"/>
      </w:pPr>
      <w:r>
        <w:rPr>
          <w:rFonts w:ascii="Georgia" w:cs="Georgia" w:eastAsia="Georgia" w:hAnsi="Georgia"/>
          <w:color w:val="1a1a1a"/>
          <w:sz w:val="21"/>
          <w:szCs w:val="21"/>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30"/>
        <w:jc w:val="both"/>
      </w:pPr>
      <w:r>
        <w:rPr>
          <w:rFonts w:ascii="Georgia" w:cs="Georgia" w:eastAsia="Georgia" w:hAnsi="Georgia"/>
          <w:color w:val="1a1a1a"/>
          <w:sz w:val="21"/>
          <w:szCs w:val="21"/>
        </w:rPr>
        <w:t xml:space="preserve">AI-assisted documentation should be treated as presumptively reviewable, whether by a regulator, an auditor, or a court. The most practical moment to meet that standard is before the record is finalized.</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legally defensible record must do more than state a conclusion. It has to show the factual basis behind that conclusion. When the documentation cannot substantiate the reasoning it claims to reflect, the organization loses the very evidence it needs to defend the decision.</w:t>
      </w:r>
    </w:p>
    <w:p>
      <w:pPr>
        <w:spacing w:after="130"/>
        <w:jc w:val="both"/>
      </w:pPr>
      <w:r>
        <w:rPr>
          <w:rFonts w:ascii="Georgia" w:cs="Georgia" w:eastAsia="Georgia" w:hAnsi="Georgia"/>
          <w:color w:val="1a1a1a"/>
          <w:sz w:val="21"/>
          <w:szCs w:val="21"/>
        </w:rPr>
        <w:t xml:space="preserve">Reconstructability serves public interests as much as organizational ones. It preserves an affected person's ability to understand how a decision was reached, and it gives reviewers, courts, regulators, and oversight bodies an evidentiary basis for independent evaluation. A well-supported record survives many forms of scrutiny, internal review, complaint investigation, regulatory examination, discovery, judicial proceedings, and later historical review, while a poorly supported one may fail each of them even when the underlying decision was sound.</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Consider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Because the risk lives in the aggregate, it can pass every individual review and become visible only when records are examined together.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European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in the analysis that anchors this article.</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w:t>
      </w:r>
      <w:r>
        <w:rPr>
          <w:rFonts w:ascii="Georgia" w:cs="Georgia" w:eastAsia="Georgia" w:hAnsi="Georgia"/>
          <w:b/>
          <w:bCs/>
          <w:color w:val="1a1a1a"/>
          <w:sz w:val="21"/>
          <w:szCs w:val="21"/>
        </w:rPr>
        <w:t xml:space="preserve">Can the record be understood independently of its author? Are its conclusions supported by verifiable, non-AI-generated evidence? Can a neutral reviewer reconstruct the reasoning without additional explanation?</w:t>
      </w:r>
      <w:r>
        <w:rPr>
          <w:rFonts w:ascii="Georgia" w:cs="Georgia" w:eastAsia="Georgia" w:hAnsi="Georgia"/>
          <w:color w:val="1a1a1a"/>
          <w:sz w:val="21"/>
          <w:szCs w:val="21"/>
        </w:rPr>
        <w:t xml:space="preserve">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spacing w:after="130"/>
        <w:jc w:val="both"/>
      </w:pPr>
      <w:r>
        <w:rPr>
          <w:rFonts w:ascii="Georgia" w:cs="Georgia" w:eastAsia="Georgia" w:hAnsi="Georgia"/>
          <w:color w:val="1a1a1a"/>
          <w:sz w:val="21"/>
          <w:szCs w:val="21"/>
        </w:rPr>
        <w:t xml:space="preserve">These failures create risks beyond litigation exposure. They diminish an institution's capacity to explain its decisions to the people affected by them, and with it the transparency, accountability, and public confidence on which the institution depends.</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30"/>
        <w:jc w:val="both"/>
      </w:pPr>
      <w:r>
        <w:rPr>
          <w:rFonts w:ascii="Georgia" w:cs="Georgia" w:eastAsia="Georgia" w:hAnsi="Georgia"/>
          <w:color w:val="1a1a1a"/>
          <w:sz w:val="21"/>
          <w:szCs w:val="21"/>
        </w:rPr>
        <w:t xml:space="preserve">Taken together, these legal and regulatory currents point past any single jurisdiction toward a common governance principle. When AI contributes to a consequential decision, the person affected should be able to understand the basis for it, and the organization should be able to reconstruct and defend it from the record. This expectation can be captured in a single phrase, </w:t>
      </w:r>
      <w:r>
        <w:rPr>
          <w:rFonts w:ascii="Georgia" w:cs="Georgia" w:eastAsia="Georgia" w:hAnsi="Georgia"/>
          <w:b/>
          <w:bCs/>
          <w:color w:val="1a1a1a"/>
          <w:sz w:val="21"/>
          <w:szCs w:val="21"/>
        </w:rPr>
        <w:t xml:space="preserve">the Right to Know Why</w:t>
      </w:r>
      <w:r>
        <w:rPr>
          <w:rFonts w:ascii="Georgia" w:cs="Georgia" w:eastAsia="Georgia" w:hAnsi="Georgia"/>
          <w:color w:val="1a1a1a"/>
          <w:sz w:val="21"/>
          <w:szCs w:val="21"/>
        </w:rPr>
        <w:t xml:space="preserve">: not a new legal doctrine, but a concise name for accountability expectations that already run through discovery, evidentiary sufficiency, the GDPR's accountability principle, and the record-keeping demands of the EU AI Act.</w:t>
      </w:r>
    </w:p>
    <w:p>
      <w:pPr>
        <w:spacing w:after="130"/>
        <w:jc w:val="both"/>
      </w:pPr>
      <w:r>
        <w:rPr>
          <w:rFonts w:ascii="Georgia" w:cs="Georgia" w:eastAsia="Georgia" w:hAnsi="Georgia"/>
          <w:color w:val="1a1a1a"/>
          <w:sz w:val="21"/>
          <w:szCs w:val="21"/>
        </w:rPr>
        <w:t xml:space="preserve">Whether the question is put through American evidentiary law or European fundamental-rights frameworks, it converges on the same test: can the decision still explain itself? When it cannot, meaningful accountability is compromised, both for the institution that must defend the decision and for the person entitled to understand it. Naming that test plainly is what the Right to Know Why offers to courts, regulators, organizations, and the people whose lives consequential decisions affect.</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models, each from a different vendor,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Zanfir-Fortuna, PhD,</w:t>
      </w:r>
      <w:r>
        <w:rPr>
          <w:rFonts w:ascii="Georgia" w:cs="Georgia" w:eastAsia="Georgia" w:hAnsi="Georgia"/>
          <w:color w:val="1a1a1a"/>
          <w:sz w:val="21"/>
          <w:szCs w:val="21"/>
        </w:rPr>
        <w:t xml:space="preserve"> is Vice President for Global Privacy at the Future of Privacy Forum. She previously served at the European Data Protection Supervisor in Brussels, where she was part of the litigation team appearing before the Court of Justice of the European Union and took part in the Article 29 Working Party. She holds a PhD on the rights of the data subject and writes and teaches on global data-protection law.</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2026-07-26T13:28:27.782Z</dcterms:created>
  <dcterms:modified xsi:type="dcterms:W3CDTF">2026-07-26T13:28:27.800Z</dcterms:modified>
</cp:coreProperties>
</file>

<file path=docProps/custom.xml><?xml version="1.0" encoding="utf-8"?>
<Properties xmlns="http://schemas.openxmlformats.org/officeDocument/2006/custom-properties" xmlns:vt="http://schemas.openxmlformats.org/officeDocument/2006/docPropsVTypes"/>
</file>