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Reply to Stacy Young, 2026-08-08</w:t>
      </w:r>
    </w:p>
    <w:p>
      <w:pPr>
        <w:spacing w:after="140"/>
      </w:pPr>
      <w:r>
        <w:rPr>
          <w:b/>
        </w:rPr>
        <w:t xml:space="preserve">Status: draft for Phillip to send. Not sent.</w:t>
      </w:r>
    </w:p>
    <w:p>
      <w:pPr>
        <w:spacing w:after="140"/>
      </w:pPr>
      <w:r>
        <w:t xml:space="preserve">Council drafts already sent. She has the manuscript. Only the honor materials are outstanding.</w:t>
      </w:r>
    </w:p>
    <w:p>
      <w:pPr>
        <w:pBdr>
          <w:bottom w:val="single" w:sz="6" w:space="1" w:color="AAAAAA"/>
        </w:pBdr>
      </w:pPr>
    </w:p>
    <w:p>
      <w:pPr>
        <w:spacing w:after="140"/>
      </w:pPr>
      <w:r>
        <w:t xml:space="preserve">Stacyann,</w:t>
      </w:r>
    </w:p>
    <w:p>
      <w:pPr>
        <w:spacing w:after="140"/>
      </w:pPr>
      <w:r>
        <w:t xml:space="preserve">Here are the honor materials.</w:t>
      </w:r>
    </w:p>
    <w:p>
      <w:pPr>
        <w:spacing w:after="140"/>
      </w:pPr>
      <w:r>
        <w:t xml:space="preserve">The citation is in there word for word, along with a draft of the certificate. If any of it reads as overstated, tell me and I will change it.</w:t>
      </w:r>
    </w:p>
    <w:p>
      <w:pPr>
        <w:spacing w:after="140"/>
      </w:pPr>
      <w:r>
        <w:t xml:space="preserve">There is also a short note in case HPD or the Conflicts of Interest Board want to see it. No money moves in either direction, and your title does not have to appear at all if your agency would rather it did not.</w:t>
      </w:r>
    </w:p>
    <w:p>
      <w:pPr>
        <w:spacing w:after="140"/>
      </w:pPr>
      <w:r>
        <w:t xml:space="preserve">Nothing goes out in your name until you say so.</w:t>
      </w:r>
    </w:p>
    <w:p>
      <w:pPr>
        <w:spacing w:after="140"/>
      </w:pPr>
      <w:r>
        <w:t xml:space="preserve">Phillip</w:t>
      </w:r>
    </w:p>
    <w:p>
      <w:pPr>
        <w:pBdr>
          <w:bottom w:val="single" w:sz="6" w:space="1" w:color="AAAAAA"/>
        </w:pBdr>
      </w:pPr>
    </w:p>
    <w:p>
      <w:pPr>
        <w:pStyle w:val="Heading2"/>
        <w:spacing w:after="140"/>
      </w:pPr>
      <w:r>
        <w:t xml:space="preserve">Attachments</w:t>
      </w:r>
    </w:p>
    <w:p>
      <w:pPr>
        <w:numPr>
          <w:ilvl w:val="0"/>
          <w:numId w:val="1"/>
        </w:numPr>
        <w:spacing w:after="60"/>
      </w:pPr>
      <w:r>
        <w:rPr>
          <w:rFonts w:ascii="Consolas" w:hAnsi="Consolas"/>
        </w:rPr>
        <w:t xml:space="preserve">Honor_Materials_For_Stacy_Review_2026-08-08.docx</w:t>
      </w:r>
    </w:p>
    <w:p>
      <w:pPr>
        <w:numPr>
          <w:ilvl w:val="0"/>
          <w:numId w:val="1"/>
        </w:numPr>
        <w:spacing w:after="60"/>
      </w:pPr>
      <w:r>
        <w:rPr>
          <w:rFonts w:ascii="Consolas" w:hAnsi="Consolas"/>
        </w:rPr>
        <w:t xml:space="preserve">DRAFT_Honor_Certificate_Stacy_Young.pdf</w:t>
      </w:r>
    </w:p>
    <w:p>
      <w:pPr>
        <w:pStyle w:val="Heading2"/>
        <w:spacing w:after="140"/>
      </w:pPr>
      <w:r>
        <w:t xml:space="preserve">Held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File</w:t>
            </w:r>
          </w:p>
        </w:tc>
        <w:tc>
          <w:tcPr>
            <w:tcW w:w="4680" w:type="dxa"/>
          </w:tcPr>
          <w:p>
            <w:pPr>
              <w:spacing w:after="0"/>
            </w:pPr>
            <w:r>
              <w:t xml:space="preserve">Why</w:t>
            </w:r>
          </w:p>
        </w:tc>
      </w:tr>
      <w:tr>
        <w:tc>
          <w:tcPr>
            <w:tcW w:w="4680" w:type="dxa"/>
          </w:tcPr>
          <w:p>
            <w:pPr>
              <w:spacing w:after="0"/>
            </w:pPr>
            <w:r>
              <w:rPr>
                <w:rFonts w:ascii="Consolas" w:hAnsi="Consolas"/>
              </w:rPr>
              <w:t xml:space="preserve">CFOC_Submission_2026-08-08.docx</w:t>
            </w:r>
          </w:p>
        </w:tc>
        <w:tc>
          <w:tcPr>
            <w:tcW w:w="4680" w:type="dxa"/>
          </w:tcPr>
          <w:p>
            <w:pPr>
              <w:spacing w:after="0"/>
            </w:pPr>
            <w:r>
              <w:t xml:space="preserve">Already sent</w:t>
            </w:r>
          </w:p>
        </w:tc>
      </w:tr>
      <w:tr>
        <w:tc>
          <w:tcPr>
            <w:tcW w:w="4680" w:type="dxa"/>
          </w:tcPr>
          <w:p>
            <w:pPr>
              <w:spacing w:after="0"/>
            </w:pPr>
            <w:r>
              <w:rPr>
                <w:rFonts w:ascii="Consolas" w:hAnsi="Consolas"/>
              </w:rPr>
              <w:t xml:space="preserve">FOIL_Article_Draft.docx</w:t>
            </w:r>
          </w:p>
        </w:tc>
        <w:tc>
          <w:tcPr>
            <w:tcW w:w="4680" w:type="dxa"/>
          </w:tcPr>
          <w:p>
            <w:pPr>
              <w:spacing w:after="0"/>
            </w:pPr>
            <w:r>
              <w:t xml:space="preserve">She has it</w:t>
            </w:r>
          </w:p>
        </w:tc>
      </w:tr>
      <w:tr>
        <w:tc>
          <w:tcPr>
            <w:tcW w:w="4680" w:type="dxa"/>
          </w:tcPr>
          <w:p>
            <w:pPr>
              <w:spacing w:after="0"/>
            </w:pPr>
            <w:r>
              <w:rPr>
                <w:rFonts w:ascii="Consolas" w:hAnsi="Consolas"/>
              </w:rPr>
              <w:t xml:space="preserve">Blind_Recheck_Packet_E08.docx</w:t>
            </w:r>
          </w:p>
        </w:tc>
        <w:tc>
          <w:tcPr>
            <w:tcW w:w="4680" w:type="dxa"/>
          </w:tcPr>
          <w:p>
            <w:pPr>
              <w:spacing w:after="0"/>
            </w:pPr>
            <w:r>
              <w:t xml:space="preserve">Goes to the second reader she names</w:t>
            </w:r>
          </w:p>
        </w:tc>
      </w:tr>
      <w:tr>
        <w:tc>
          <w:tcPr>
            <w:tcW w:w="4680" w:type="dxa"/>
          </w:tcPr>
          <w:p>
            <w:pPr>
              <w:spacing w:after="0"/>
            </w:pPr>
            <w:r>
              <w:rPr>
                <w:rFonts w:ascii="Consolas" w:hAnsi="Consolas"/>
              </w:rPr>
              <w:t xml:space="preserve">Blind_Recheck_KEY_E08.md</w:t>
            </w:r>
          </w:p>
        </w:tc>
        <w:tc>
          <w:tcPr>
            <w:tcW w:w="4680" w:type="dxa"/>
          </w:tcPr>
          <w:p>
            <w:pPr>
              <w:spacing w:after="0"/>
            </w:pPr>
            <w:r>
              <w:t xml:space="preserve">Never sent to anyone</w:t>
            </w:r>
          </w:p>
        </w:tc>
      </w:tr>
      <w:tr>
        <w:tc>
          <w:tcPr>
            <w:tcW w:w="4680" w:type="dxa"/>
          </w:tcPr>
          <w:p>
            <w:pPr>
              <w:spacing w:after="0"/>
            </w:pPr>
            <w:r>
              <w:t xml:space="preserve">Notes on Section 5.5 and the 28-of-32 count</w:t>
            </w:r>
          </w:p>
        </w:tc>
        <w:tc>
          <w:tcPr>
            <w:tcW w:w="4680" w:type="dxa"/>
          </w:tcPr>
          <w:p>
            <w:pPr>
              <w:spacing w:after="0"/>
            </w:pPr>
            <w:r>
              <w:t xml:space="preserve">Only if she raises them</w:t>
            </w:r>
          </w:p>
        </w:tc>
      </w:tr>
    </w:tbl>
    <w:p>
      <w:pPr/>
      <w:r>
        <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