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cannot prove it.</w:t>
      </w:r>
    </w:p>
    <w:p>
      <w:pPr>
        <w:spacing w:after="140"/>
      </w:pPr>
      <w:r>
        <w:t xml:space="preserve">Generative AI can make that gap easier to create: a drafted narrative may read as finished even when the material that would substantiate it has not been preserved. That is a forward-looking concern, not a finding of this study. The corpus was not selected for AI involvement, no case in it is shown to have been AI-drafted, and it spans decisions from 1973 to 2026, most predating generative drafting. The question tested is whether the review distinguishes records that can independently support their conclusions from records that cannot, regardless of how they were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20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in this corpus commonly preserved quotations or other identifiable references to the underlying documentation.</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commonest form here was a conclusion about performance or conduct stated confidently,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w:t>
      </w:r>
    </w:p>
    <w:p>
      <w:pPr>
        <w:spacing w:after="140"/>
      </w:pPr>
      <w:r>
        <w:t xml:space="preserve">For AI-assisted drafting, Needs work may be the more difficult failure mode to detect. A Gap record looks thin to anyone who opens it. A Needs work record can read well, follow the template and still carry material claims that cannot be independently checked, making it harder to catch in routine file-by-file review and more consequential when the record is later examined.</w:t>
      </w:r>
    </w:p>
    <w:p>
      <w:pPr>
        <w:pStyle w:val="Heading2"/>
        <w:spacing w:after="140"/>
      </w:pPr>
      <w:r>
        <w:t xml:space="preserve">What was tested</w:t>
      </w:r>
    </w:p>
    <w:p>
      <w:pPr>
        <w:spacing w:after="140"/>
      </w:pPr>
      <w:r>
        <w:t xml:space="preserve">Twenty-two matters were screened; 20 met the inclusion criteria and 2 were excluded. The 20 analyzed matters are drawn from 20 distinct published decisions across six adjudicating forums in two countries: the US Federal Labor Relations Authority (6), the New York Unemployment Insurance Appeal Board (4), the New York Appellate Division (4), the US Supreme Court (2), UK Employment Tribunals (2), and the US Equal Employment Opportunity Commission (2).</w:t>
      </w:r>
      <w:r>
        <w:rPr>
          <w:vertAlign w:val="superscript"/>
        </w:rPr>
        <w:t xml:space="preserve">1</w:t>
      </w:r>
    </w:p>
    <w:p>
      <w:pPr>
        <w:spacing w:after="140"/>
      </w:pPr>
      <w:r>
        <w:t xml:space="preserve">The 2 excluded matters are identified in appendix A and endnote 2: a public-records advisory opinion, and an entry identifying no specific decision.</w:t>
      </w:r>
      <w:r>
        <w:rPr>
          <w:vertAlign w:val="superscript"/>
        </w:rPr>
        <w:t xml:space="preserve">2</w:t>
      </w:r>
    </w:p>
    <w:p>
      <w:pPr>
        <w:spacing w:after="140"/>
      </w:pPr>
      <w:r>
        <w:t xml:space="preserve">For each matter a practicing employment specialist read the published decision in full and applied the five conditions to the employer's contemporaneous documentation, to the extent it was reproduced or characterized in that decision.</w:t>
      </w:r>
      <w:r>
        <w:rPr>
          <w:vertAlign w:val="superscript"/>
        </w:rPr>
        <w:t xml:space="preserve">3</w:t>
      </w:r>
      <w:r>
        <w:t xml:space="preserve"> The classification was recorded before the outcome was consulted, and the outcome and citation were then entered from the decision.</w:t>
      </w:r>
    </w:p>
    <w:p>
      <w:pPr>
        <w:spacing w:after="140"/>
      </w:pPr>
      <w:r>
        <w:t xml:space="preserve">That design carries a circularity objection, and it is the first thing a careful reader should raise. The decision narrates the outcome and characterizes the employer's evidence, so the reviewer worked from a source already containing the outcome being assessed. The database stores one timestamp per case rather than two, so the ordering rests on the protocol rather than a system record.</w:t>
      </w:r>
    </w:p>
    <w:p>
      <w:pPr>
        <w:spacing w:after="140"/>
      </w:pPr>
      <w:r>
        <w:t xml:space="preserve">The objection is not answered here and must not be treated as answered. The association is consistent with a documentation deficiency an adjudicator also noticed, and equally consistent with reviewer influence from information in the decision. Separating them requires a design this study did not use: independent timestamping, a second blinded reader, or employer records obtained before adjudication.</w:t>
      </w:r>
    </w:p>
    <w:p>
      <w:pPr>
        <w:spacing w:after="140"/>
      </w:pPr>
      <w:r>
        <w:t xml:space="preserve">This is a single-practitioner field pilot: one qualified specialist, one field application within an ordinary professional workflow. The findings are reported at that level.</w:t>
      </w:r>
    </w:p>
    <w:p>
      <w:pPr>
        <w:spacing w:after="140"/>
      </w:pPr>
      <w:r>
        <w:t xml:space="preserve">The classifications were 12 Ready, 5 Needs work and 3 Gap. The documented outcomes were 6 sustained, 7 that did not survive review, 6 contested with no recorded disposition, and 1 adverse audit or compliance finding. The adverse audit or compliance finding is a separate category, not included in the other three. The four categories are mutually exclusive and sum to 20.</w:t>
      </w:r>
    </w:p>
    <w:p>
      <w:pPr>
        <w:pStyle w:val="Heading2"/>
        <w:spacing w:after="140"/>
      </w:pPr>
      <w:r>
        <w:t xml:space="preserve">What was found</w:t>
      </w:r>
    </w:p>
    <w:p>
      <w:pPr>
        <w:spacing w:after="140"/>
      </w:pPr>
      <w:r>
        <w:t xml:space="preserve">Needs work and Gap are grouped, since both describe a record whose basis is incomplete. For the primary analysis, an adverse finding was recorded where the employer's position did not survive review or where the matter drew an adverse audit or compliance finding.</w:t>
      </w:r>
      <w:r>
        <w:rPr>
          <w:vertAlign w:val="superscript"/>
        </w:rPr>
        <w:t xml:space="preserve">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8)</w:t>
            </w:r>
          </w:p>
        </w:tc>
        <w:tc>
          <w:tcPr>
            <w:tcW w:w="2340" w:type="dxa"/>
          </w:tcPr>
          <w:p>
            <w:pPr>
              <w:spacing w:after="0"/>
            </w:pPr>
            <w:r>
              <w:t xml:space="preserve">6</w:t>
            </w:r>
          </w:p>
        </w:tc>
        <w:tc>
          <w:tcPr>
            <w:tcW w:w="2340" w:type="dxa"/>
          </w:tcPr>
          <w:p>
            <w:pPr>
              <w:spacing w:after="0"/>
            </w:pPr>
            <w:r>
              <w:t xml:space="preserve">2</w:t>
            </w:r>
          </w:p>
        </w:tc>
        <w:tc>
          <w:tcPr>
            <w:tcW w:w="2340" w:type="dxa"/>
          </w:tcPr>
          <w:p>
            <w:pPr>
              <w:spacing w:after="0"/>
            </w:pPr>
            <w:r>
              <w:t xml:space="preserve">75.0%</w:t>
            </w:r>
          </w:p>
        </w:tc>
      </w:tr>
      <w:tr>
        <w:tc>
          <w:tcPr>
            <w:tcW w:w="2340" w:type="dxa"/>
          </w:tcPr>
          <w:p>
            <w:pPr>
              <w:spacing w:after="0"/>
            </w:pPr>
            <w:r>
              <w:t xml:space="preserve">Ready (n = 12)</w:t>
            </w:r>
          </w:p>
        </w:tc>
        <w:tc>
          <w:tcPr>
            <w:tcW w:w="2340" w:type="dxa"/>
          </w:tcPr>
          <w:p>
            <w:pPr>
              <w:spacing w:after="0"/>
            </w:pPr>
            <w:r>
              <w:t xml:space="preserve">2</w:t>
            </w:r>
          </w:p>
        </w:tc>
        <w:tc>
          <w:tcPr>
            <w:tcW w:w="2340" w:type="dxa"/>
          </w:tcPr>
          <w:p>
            <w:pPr>
              <w:spacing w:after="0"/>
            </w:pPr>
            <w:r>
              <w:t xml:space="preserve">10</w:t>
            </w:r>
          </w:p>
        </w:tc>
        <w:tc>
          <w:tcPr>
            <w:tcW w:w="2340" w:type="dxa"/>
          </w:tcPr>
          <w:p>
            <w:pPr>
              <w:spacing w:after="0"/>
            </w:pPr>
            <w:r>
              <w:t xml:space="preserve">16.7%</w:t>
            </w:r>
          </w:p>
        </w:tc>
      </w:tr>
    </w:tbl>
    <w:p>
      <w:pPr/>
      <w:r>
        <w:t/>
      </w:r>
    </w:p>
    <w:p>
      <w:pPr>
        <w:spacing w:after="140"/>
      </w:pPr>
      <w:r>
        <w:rPr>
          <w:i/>
        </w:rPr>
        <w:t xml:space="preserve">Exploratory association; adverse classification defined retrospectively.</w:t>
      </w:r>
    </w:p>
    <w:p>
      <w:pPr>
        <w:spacing w:after="140"/>
      </w:pPr>
      <w:r>
        <w:t xml:space="preserve">Fisher's exact test, two-sided: p = 0.0194.</w:t>
      </w:r>
      <w:r>
        <w:rPr>
          <w:vertAlign w:val="superscript"/>
        </w:rPr>
        <w:t xml:space="preserve">5</w:t>
      </w:r>
    </w:p>
    <w:p>
      <w:pPr>
        <w:spacing w:after="140"/>
      </w:pPr>
      <w:r>
        <w:t xml:space="preserve">Records classified as incomplete were associated with an adverse finding in 75.0 percent of cases, compared with 16.7 percent of those classified Ready.</w:t>
      </w:r>
    </w:p>
    <w:p>
      <w:pPr>
        <w:spacing w:after="140"/>
      </w:pPr>
      <w:r>
        <w:t xml:space="preserve">The result depends on how an adverse outcome is defined, and no rule was fixed before the data closed. The primary association should therefore be interpreted as exploratory rather than confirmatory. Restricting to the 13 matters with a resolved disposition and asking only whether the employer's position was sustained gives p = 0.0291. Including the 2 excluded matters produces p = 0.0073, but those matters do not meet the stated inclusion criteria and are therefore treated only as a sensitivity analysis.</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recorded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that corpus did not track outcomes.</w:t>
      </w:r>
      <w:r>
        <w:rPr>
          <w:vertAlign w:val="superscript"/>
        </w:rPr>
        <w:t xml:space="preserve">6</w:t>
      </w:r>
    </w:p>
    <w:p>
      <w:pPr>
        <w:spacing w:after="140"/>
      </w:pPr>
      <w:r>
        <w:t xml:space="preserve">Freedom-of-information determinations reach publication because a legal or access question was contested, so publication does not imply the underlying file was typical of the broader record population. Fifteen of the 20 resolved determinations there did not survive. That distribution reflects the selection and publication process rather than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The comparison is therefore descriptive rather than evidence that the two corpora behave identically.</w:t>
      </w:r>
      <w:r>
        <w:rPr>
          <w:vertAlign w:val="superscript"/>
        </w:rPr>
        <w:t xml:space="preserve">7</w:t>
      </w:r>
      <w:r>
        <w:t xml:space="preserve"> The difference illustrates how publication and selection processes can influence an outcome-based test of a documentation control.</w:t>
      </w:r>
    </w:p>
    <w:p>
      <w:pPr>
        <w:pStyle w:val="Heading2"/>
        <w:spacing w:after="140"/>
      </w:pPr>
      <w:r>
        <w:t xml:space="preserve">What this looks like in an examination</w:t>
      </w:r>
    </w:p>
    <w:p>
      <w:pPr>
        <w:spacing w:after="140"/>
      </w:pPr>
      <w:r>
        <w:t xml:space="preserve">Internal audit, compliance, investigations and other assurance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have supported the conclusion may not be attached when the narrative is treated as complete without it. In audit or dispute, that absence can become the central issue, and a sound decision has to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population level this can indicate a broader control weakness requiring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in that single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is one that contributes directly to the stated basis for the decision. The evidence must exist independently of the draft, such as logs, communications and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efficient when applied before a record is finalized, so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20 analyzed matters were the whole analyzed corpus, not a sample drawn against a stated tolerable error and confidence level. Build the sampling plan in the ordinary way, using whatever sampling standard the function already applies. The unit of analysis is the record. A periodic sample should be sized to the relevant population and weighted toward consequential decisions. These include decisions with material employment, financial, legal or compliance implications, such as terminations, disciplinary outcomes and denials of accommodation. Such a sample would generally be more informative than a larger unweighted sample. The aggregate view is more informative than any individual file because patterned compliance becomes visible across a population.</w:t>
      </w:r>
    </w:p>
    <w:p>
      <w:pPr>
        <w:spacing w:after="140"/>
      </w:pPr>
      <w:r>
        <w:rPr>
          <w:b/>
        </w:rPr>
        <w:t xml:space="preserve">What triggers escalation?</w:t>
      </w:r>
      <w:r>
        <w:t xml:space="preserve"> A single Needs work classification can ordinarily trigger coaching or remediation. A rising rate or persistent concentration by author, business unit or decision type can warrant treatment as a control finding. Such patterns are more informative than an isolated classification, but they can be identified reliably only when individual classifications are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that a working specialist can apply within an ordinary professional workflow. The result should be interpreted as exploratory.</w:t>
      </w:r>
    </w:p>
    <w:p>
      <w:pPr>
        <w:spacing w:after="140"/>
      </w:pPr>
      <w:r>
        <w:t xml:space="preserve">It does not establish that the review improves outcomes, reduces litigation risk or increases decision quality, none of which was tested. Twenty cases reviewed by one practitioner, selected from published sources rather than sampled at random, constitute a field pilot. Published adjudications are not a random sample, since a matter reaches adjudication because something was contested.</w:t>
      </w:r>
    </w:p>
    <w:p>
      <w:pPr>
        <w:spacing w:after="140"/>
      </w:pPr>
      <w:r>
        <w:t xml:space="preserve">A larger study should broaden the corpus without regard to how matters resolved, put at least two reviewers on each case with the classification and outcome recorded separately, fix the treatment of unresolved contests in advance, and where feasible obtain the underlying record independently of the adjudicated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20 analyzed matters come from 20 distinct published decisions collected between 22 June and 29 July 2026. Appendix A lists all 22 screened matters with the forum for each. Counts, classifications, outcomes and citations were verified against the study database on 24 August 2026.</w:t>
      </w:r>
    </w:p>
    <w:p>
      <w:pPr>
        <w:spacing w:after="140"/>
      </w:pPr>
      <w:r>
        <w:rPr>
          <w:b/>
        </w:rPr>
        <w:t xml:space="preserve">Exclusions</w:t>
      </w:r>
    </w:p>
    <w:p>
      <w:pPr>
        <w:spacing w:after="140"/>
      </w:pPr>
      <w:r>
        <w:rPr>
          <w:b/>
        </w:rPr>
        <w:t xml:space="preserve">2.</w:t>
      </w:r>
      <w:r>
        <w:t xml:space="preserve"> Twenty-two matters were screened and two are excluded. The first is a New York Committee on Open Government advisory opinion on a public-records request for disciplinary records: its subject is employment records but its forum and legal question are public records, so it belongs to the companion corpus. The second describes a capability dismissal but identifies no party, forum, date or case number, so it cannot be cited. Both exclusions were applied before the analysis, and both matters are named in appendix A so the full screened set can be reconstructed. Including both excluded matters produces p = 0.0073 with an odds ratio of 19.25. Because those matters do not meet the stated inclusion criteria, this result is reported only as a sensitivity analysis.</w:t>
      </w:r>
    </w:p>
    <w:p>
      <w:pPr>
        <w:spacing w:after="140"/>
      </w:pPr>
      <w:r>
        <w:rPr>
          <w:b/>
        </w:rPr>
        <w:t xml:space="preserve">Protocol and classification</w:t>
      </w:r>
    </w:p>
    <w:p>
      <w:pPr>
        <w:spacing w:after="140"/>
      </w:pPr>
      <w:r>
        <w:rPr>
          <w:b/>
        </w:rPr>
        <w:t xml:space="preserve">3.</w:t>
      </w:r>
      <w:r>
        <w:t xml:space="preserve"> The reviewer read each published decision in full and worked from the portions describing the employer's contemporaneous documentation.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4.</w:t>
      </w:r>
      <w:r>
        <w:t xml:space="preserve"> An adverse finding was recorded where the employer's position did not survive review, or where the matter drew an adverse audit or compliance finding. The adverse audit or compliance outcome is a separate category, not counted among the matters that did not survive review. 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5.</w:t>
      </w:r>
      <w:r>
        <w:t xml:space="preserve"> Association between the classification and an adverse finding was tested with Fisher's exact test, two-sided, on the 2 x 2 table shown: p = 0.0194, odds ratio 15.00. The proportions with an adverse finding were 75.0 percent for Needs work or Gap (6 of 8, 95 percent Wilson score interval 40.9 to 92.9 percent) and 16.7 percent for Ready (2 of 12, 95 percent Wilson score interval 4.7 to 44.8 percent). Wilson intervals are used because the cell counts are small and the normal approximation is unreliable at this sample size.</w:t>
      </w:r>
    </w:p>
    <w:p>
      <w:pPr>
        <w:spacing w:after="140"/>
      </w:pPr>
      <w:r>
        <w:rPr>
          <w:b/>
        </w:rPr>
        <w:t xml:space="preserve">Comparison corpus</w:t>
      </w:r>
    </w:p>
    <w:p>
      <w:pPr>
        <w:spacing w:after="140"/>
      </w:pPr>
      <w:r>
        <w:rPr>
          <w:b/>
        </w:rPr>
        <w:t xml:space="preserve">6.</w:t>
      </w:r>
      <w:r>
        <w:t xml:space="preserve"> The public-records corpus comprises 32 determinations and audits reviewed by a different practitioner under the same five-condition protocol, without modification. The matters are New York State and City sources, principally Appellate Division decisions, Committee on Open Government advisory opinions and Comptroller audits, collected between 26 June and 8 August 2026 from published sources. Twenty carried a recorded disposition and are treated as resolved. That corpus is reported in full in a companion manuscript and is used here only for the homogeneity comparison.</w:t>
      </w:r>
    </w:p>
    <w:p>
      <w:pPr>
        <w:spacing w:after="140"/>
      </w:pPr>
      <w:r>
        <w:rPr>
          <w:b/>
        </w:rPr>
        <w:t xml:space="preserve">7.</w:t>
      </w:r>
      <w:r>
        <w:t xml:space="preserve"> Comparison with the public-records corpus used the Woolf test of homogeneity of odds ratios, computed on the 20 analyzed matters: Q = 1.949 on 1 degree of freedom, p = 0.163. The test does not establish equivalence; it fails to detect a difference at this sample size.</w:t>
      </w:r>
    </w:p>
    <w:p>
      <w:pPr>
        <w:pBdr>
          <w:bottom w:val="single" w:sz="6" w:space="1" w:color="AAAAAA"/>
        </w:pBdr>
      </w:pPr>
    </w:p>
    <w:p>
      <w:pPr>
        <w:pStyle w:val="Heading2"/>
        <w:spacing w:after="140"/>
      </w:pPr>
      <w:r>
        <w:t xml:space="preserve">Appendix A. Case list</w:t>
      </w:r>
    </w:p>
    <w:p>
      <w:pPr>
        <w:spacing w:after="140"/>
      </w:pPr>
      <w:r>
        <w:rPr>
          <w:b/>
        </w:rPr>
        <w:t xml:space="preserve">A1.</w:t>
      </w:r>
      <w:r>
        <w:t xml:space="preserve"> McDonnell Douglas Corp. v. Green, 411 U.S. 792 (1973) (US Supreme Court) </w:t>
      </w:r>
      <w:r>
        <w:rPr>
          <w:b/>
        </w:rPr>
        <w:t xml:space="preserve">A2.</w:t>
      </w:r>
      <w:r>
        <w:t xml:space="preserve"> St. Mary’s Honor Center v. Hicks, 509 U.S. 502 (1993) (US Supreme Court) </w:t>
      </w:r>
      <w:r>
        <w:rPr>
          <w:b/>
        </w:rPr>
        <w:t xml:space="preserve">A3.</w:t>
      </w:r>
      <w:r>
        <w:t xml:space="preserve"> Gallon v Sigma Aldrich Ltd, UK Employment Tribunal, Case No. 2500506/2017 (2017) (UK Employment Tribunal) </w:t>
      </w:r>
      <w:r>
        <w:rPr>
          <w:b/>
        </w:rPr>
        <w:t xml:space="preserve">A4.</w:t>
      </w:r>
      <w:r>
        <w:t xml:space="preserve"> Published Employment Tribunal and Employment Appeal Tribunal proceedings involving a capability dismissal following a formal performance management process (UK Employment Tribunal)  </w:t>
      </w:r>
      <w:r>
        <w:rPr>
          <w:b/>
        </w:rPr>
        <w:t xml:space="preserve">EXCLUDED FROM THE ANALYSIS.</w:t>
      </w:r>
      <w:r>
        <w:t xml:space="preserve"> This entry identifies no specific decision and cannot be cited. See endnote 2. </w:t>
      </w:r>
      <w:r>
        <w:rPr>
          <w:b/>
        </w:rPr>
        <w:t xml:space="preserve">A5.</w:t>
      </w:r>
      <w:r>
        <w:t xml:space="preserve"> Jones v Vale Curtains and Blinds Ltd (Employment Tribunal, Reading, 2024) (UK Employment Tribunal)  Named decision. The tribunal case number is not on file; the decision is identified by party, forum and year. </w:t>
      </w:r>
      <w:r>
        <w:rPr>
          <w:b/>
        </w:rPr>
        <w:t xml:space="preserve">A6.</w:t>
      </w:r>
      <w:r>
        <w:t xml:space="preserve"> United States Department of Defense, Department of Defense Dependents Schools, Europe and Federal Education Association, 65 FLRA No. 122 (2011) (US Federal Labor Relations Authority) </w:t>
      </w:r>
      <w:r>
        <w:rPr>
          <w:b/>
        </w:rPr>
        <w:t xml:space="preserve">A7.</w:t>
      </w:r>
      <w:r>
        <w:t xml:space="preserve"> Appeal Board No. 636070 (N.Y. Unemployment Insurance Appeal Board, Mar. 5, 2025) (New York Unemployment Insurance Appeal Board) </w:t>
      </w:r>
      <w:r>
        <w:rPr>
          <w:b/>
        </w:rPr>
        <w:t xml:space="preserve">A8.</w:t>
      </w:r>
      <w:r>
        <w:t xml:space="preserve"> Valentine S. v. U.S. Postal Service, EEOC Appeal No. 2022004565 (Dec. 22, 2022) (US Equal Employment Opportunity Commission) </w:t>
      </w:r>
      <w:r>
        <w:rPr>
          <w:b/>
        </w:rPr>
        <w:t xml:space="preserve">A9.</w:t>
      </w:r>
      <w:r>
        <w:t xml:space="preserve"> Matter of Gannett Co., Inc. v City of Mount Vernon Police Department, 248 AD3d 1035, 2026 NY Slip Op 02267 (2d Dept 2026) (New York Appellate Division) </w:t>
      </w:r>
      <w:r>
        <w:rPr>
          <w:b/>
        </w:rPr>
        <w:t xml:space="preserve">A10.</w:t>
      </w:r>
      <w:r>
        <w:t xml:space="preserve"> Matter of Kohler-Hausmann v New York City Police Department, 133 AD3d 437 (1st Dept 2015) (New York Appellate Division) </w:t>
      </w:r>
      <w:r>
        <w:rPr>
          <w:b/>
        </w:rPr>
        <w:t xml:space="preserve">A11.</w:t>
      </w:r>
      <w:r>
        <w:t xml:space="preserve"> United States Department of Housing and Urban Development and AFGE Local 3320, 73 FLRA No. 67 (Nov. 14, 2022) (US Federal Labor Relations Authority) </w:t>
      </w:r>
      <w:r>
        <w:rPr>
          <w:b/>
        </w:rPr>
        <w:t xml:space="preserve">A12.</w:t>
      </w:r>
      <w:r>
        <w:t xml:space="preserve"> AFGE Local 4012 and Social Security Administration, Denver, Colorado, 73 FLRA No. 106 (May 26, 2023) (US Federal Labor Relations Authority) </w:t>
      </w:r>
      <w:r>
        <w:rPr>
          <w:b/>
        </w:rPr>
        <w:t xml:space="preserve">A13.</w:t>
      </w:r>
      <w:r>
        <w:t xml:space="preserve"> International Federation of Professional and Technical Engineers, Local 4 and U.S. Department of the Navy, Portsmouth Naval Shipyard, 73 FLRA No. 94 (2023) (US Federal Labor Relations Authority) </w:t>
      </w:r>
      <w:r>
        <w:rPr>
          <w:b/>
        </w:rPr>
        <w:t xml:space="preserve">A14.</w:t>
      </w:r>
      <w:r>
        <w:t xml:space="preserve"> Fraternal Order of Police, DC Lodge 1 and U.S. Department of Defense, Pentagon Force Protection Agency, 73 FLRA No. 77 (2023) (US Federal Labor Relations Authority) </w:t>
      </w:r>
      <w:r>
        <w:rPr>
          <w:b/>
        </w:rPr>
        <w:t xml:space="preserve">A15.</w:t>
      </w:r>
      <w:r>
        <w:t xml:space="preserve"> FOIL-AO-19774 (N.Y. Committee on Open Government, June 29, 2020) (New York Committee on Open Government)  </w:t>
      </w:r>
      <w:r>
        <w:rPr>
          <w:b/>
        </w:rPr>
        <w:t xml:space="preserve">EXCLUDED FROM THE ANALYSIS.</w:t>
      </w:r>
      <w:r>
        <w:t xml:space="preserve"> Public-records advisory opinion, not an employment adjudication. See endnote 2. </w:t>
      </w:r>
      <w:r>
        <w:rPr>
          <w:b/>
        </w:rPr>
        <w:t xml:space="preserve">A16.</w:t>
      </w:r>
      <w:r>
        <w:t xml:space="preserve"> Matter of Woods v State University of New York, 139 AD3d 1322, 2016 NY Slip Op 04084 (3d Dept 2016) (New York Appellate Division) </w:t>
      </w:r>
      <w:r>
        <w:rPr>
          <w:b/>
        </w:rPr>
        <w:t xml:space="preserve">A17.</w:t>
      </w:r>
      <w:r>
        <w:t xml:space="preserve"> United States Small Business Administration and American Federation of Government Employees, Local 228, 71 FLRA No. 124 (2020) (US Federal Labor Relations Authority) </w:t>
      </w:r>
      <w:r>
        <w:rPr>
          <w:b/>
        </w:rPr>
        <w:t xml:space="preserve">A18.</w:t>
      </w:r>
      <w:r>
        <w:t xml:space="preserve"> Appeal Board No. 634916 (N.Y. Unemployment Insurance Appeal Board, Jan. 29, 2025) (New York Unemployment Insurance Appeal Board) </w:t>
      </w:r>
      <w:r>
        <w:rPr>
          <w:b/>
        </w:rPr>
        <w:t xml:space="preserve">A19.</w:t>
      </w:r>
      <w:r>
        <w:t xml:space="preserve"> Carson v Department of Justice, EEOC Appeal No. 0120100078 (Feb. 16, 2012) (US Equal Employment Opportunity Commission) </w:t>
      </w:r>
      <w:r>
        <w:rPr>
          <w:b/>
        </w:rPr>
        <w:t xml:space="preserve">A20.</w:t>
      </w:r>
      <w:r>
        <w:t xml:space="preserve"> Appeal Board No. 637062 (N.Y. Unemployment Insurance Appeal Board, July 22, 2025) (New York Unemployment Insurance Appeal Board) </w:t>
      </w:r>
      <w:r>
        <w:rPr>
          <w:b/>
        </w:rPr>
        <w:t xml:space="preserve">A21.</w:t>
      </w:r>
      <w:r>
        <w:t xml:space="preserve"> Appeal Board No. 638160 (N.Y. Unemployment Insurance Appeal Board, Dec. 4, 2025) (New York Unemployment Insurance Appeal Board) </w:t>
      </w:r>
      <w:r>
        <w:rPr>
          <w:b/>
        </w:rPr>
        <w:t xml:space="preserve">A22.</w:t>
      </w:r>
      <w:r>
        <w:t xml:space="preserve"> 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Organizational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