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AABA53" w14:textId="77777777" w:rsidR="0019445B" w:rsidRDefault="00000000">
      <w:pPr>
        <w:pStyle w:val="Heading1"/>
        <w:spacing w:after="140"/>
      </w:pPr>
      <w:r>
        <w:t>A Documentation Quality Read for Public-Records Determinations: Initial Evidence from 32 Public Cases</w:t>
      </w:r>
    </w:p>
    <w:p w14:paraId="77BAF8B0" w14:textId="77777777" w:rsidR="0019445B" w:rsidRDefault="00000000">
      <w:pPr>
        <w:spacing w:after="140"/>
      </w:pPr>
      <w:r>
        <w:rPr>
          <w:b/>
        </w:rPr>
        <w:t>Stacyann Young</w:t>
      </w:r>
      <w:r>
        <w:t xml:space="preserve"> Independent Researcher</w:t>
      </w:r>
    </w:p>
    <w:p w14:paraId="5AE35F6A" w14:textId="77777777" w:rsidR="0019445B" w:rsidRDefault="00000000">
      <w:pPr>
        <w:spacing w:after="140"/>
      </w:pPr>
      <w:r>
        <w:rPr>
          <w:b/>
        </w:rPr>
        <w:t>Phillip Wikes</w:t>
      </w:r>
      <w:r>
        <w:t xml:space="preserve"> Creator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14:paraId="0D733694" w14:textId="77777777" w:rsidR="0019445B" w:rsidRDefault="00000000">
      <w:pPr>
        <w:spacing w:after="140"/>
      </w:pPr>
      <w:r>
        <w:t>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14:paraId="180193B3" w14:textId="77777777" w:rsidR="0019445B" w:rsidRDefault="00000000">
      <w:pPr>
        <w:spacing w:after="140"/>
      </w:pPr>
      <w:r>
        <w:t xml:space="preserve">We tested a structured, record-level documentation read on 32 real public-records cases drawn from four document classes and two states, collected between 26 June and 8 August 2026. For each case the read (Ready, </w:t>
      </w:r>
      <w:proofErr w:type="gramStart"/>
      <w:r>
        <w:t>Needs</w:t>
      </w:r>
      <w:proofErr w:type="gramEnd"/>
      <w:r>
        <w:t xml:space="preserve"> work, or Gap) and a short note giving the basis for that read were recorded from the source alone, before the documented outcome was consulted.</w:t>
      </w:r>
    </w:p>
    <w:p w14:paraId="0F8BFBE5" w14:textId="77777777" w:rsidR="0019445B" w:rsidRDefault="00000000">
      <w:pPr>
        <w:spacing w:after="140"/>
      </w:pPr>
      <w:r>
        <w:t>Three findings, none of them about who won.</w:t>
      </w:r>
    </w:p>
    <w:p w14:paraId="084B26B5" w14:textId="77777777" w:rsidR="0019445B" w:rsidRDefault="00000000">
      <w:pPr>
        <w:spacing w:after="140"/>
      </w:pPr>
      <w:r>
        <w:t xml:space="preserve">The read agreed with independent government auditors in every case where both instruments were available. All five compliance audits in the sample received a Gap read, and in all five the </w:t>
      </w:r>
      <w:r>
        <w:lastRenderedPageBreak/>
        <w:t>state or city Comptroller had separately recorded that the agency could not evidence its own FOIL responses.</w:t>
      </w:r>
    </w:p>
    <w:p w14:paraId="4618AF2B" w14:textId="77777777" w:rsidR="0019445B" w:rsidRDefault="00000000">
      <w:pPr>
        <w:spacing w:after="140"/>
      </w:pPr>
      <w:r>
        <w:t xml:space="preserve">The read tracked </w:t>
      </w:r>
      <w:proofErr w:type="spellStart"/>
      <w:r>
        <w:t>reconstructability</w:t>
      </w:r>
      <w:proofErr w:type="spellEnd"/>
      <w:r>
        <w:t xml:space="preserve">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14:paraId="3C04CE0D" w14:textId="77777777" w:rsidR="0019445B" w:rsidRDefault="00000000">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w:t>
      </w:r>
      <w:proofErr w:type="spellStart"/>
      <w:r>
        <w:t>programme</w:t>
      </w:r>
      <w:proofErr w:type="spellEnd"/>
      <w:r>
        <w:t>-level audits, five of five, against none of twenty-seven case-level sources (p = 0.0000050).</w:t>
      </w:r>
    </w:p>
    <w:p w14:paraId="1F61A2DD" w14:textId="77777777" w:rsidR="0019445B" w:rsidRDefault="00000000">
      <w:pPr>
        <w:spacing w:after="140"/>
      </w:pPr>
      <w:r>
        <w:t xml:space="preserve">A fourth analysis, testing the read against whether the agency prevailed on appeal, is null (p = 1.000). Given the first three findings that is the expected relationship: </w:t>
      </w:r>
      <w:proofErr w:type="spellStart"/>
      <w:r>
        <w:t>reconstructability</w:t>
      </w:r>
      <w:proofErr w:type="spellEnd"/>
      <w:r>
        <w:t xml:space="preserve">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records read as Needs work or Gap drew an adverse finding against 2 of 12 read as Ready, p = 0.0194), which is consistent with that boundary condition rather than with a weak instrument.</w:t>
      </w:r>
    </w:p>
    <w:p w14:paraId="7FB1BF77" w14:textId="77777777" w:rsidR="0019445B" w:rsidRDefault="00000000">
      <w:pPr>
        <w:spacing w:after="140"/>
      </w:pPr>
      <w:r>
        <w:t xml:space="preserve">A blind second read of 10 of the 32 cases by an independent reviewer agreed with the original on 7, 70.0 percent, Cohen's kappa 0.474 unweighted and 0.559 linear weighted, </w:t>
      </w:r>
      <w:proofErr w:type="spellStart"/>
      <w:r>
        <w:t>Gwet's</w:t>
      </w:r>
      <w:proofErr w:type="spellEnd"/>
      <w:r>
        <w:t xml:space="preserve"> AC1 0.582. All 3 disagreements were between adjacent categories. Reader dependence is therefore estimated on a subset rather than removed.</w:t>
      </w:r>
    </w:p>
    <w:p w14:paraId="610B277F" w14:textId="77777777" w:rsidR="0019445B" w:rsidRDefault="00000000">
      <w:pPr>
        <w:spacing w:after="140"/>
      </w:pPr>
      <w:r>
        <w:t xml:space="preserve">The pilot contributes a working protocol for measuring documentation quality in a public-records </w:t>
      </w:r>
      <w:proofErr w:type="spellStart"/>
      <w:r>
        <w:t>programme</w:t>
      </w:r>
      <w:proofErr w:type="spellEnd"/>
      <w:r>
        <w:t xml:space="preserve">, a completed and citable 32-case set, and preliminary evidence that the read responds to the </w:t>
      </w:r>
      <w:proofErr w:type="spellStart"/>
      <w:r>
        <w:t>reconstructability</w:t>
      </w:r>
      <w:proofErr w:type="spellEnd"/>
      <w:r>
        <w:t xml:space="preserve"> property it is designed to assess.</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14:paraId="7611AEAC" w14:textId="6A1B1CD3" w:rsidR="00062F79" w:rsidRDefault="00000000" w:rsidP="00062F79">
      <w:pPr>
        <w:spacing w:after="140"/>
      </w:pPr>
      <w:r>
        <w:lastRenderedPageBreak/>
        <w:t xml:space="preserve">The blind second read, its per-case answers and every coefficient reported in Section 5.6 are held in </w:t>
      </w:r>
      <w:r>
        <w:rPr>
          <w:rFonts w:ascii="Consolas" w:hAnsi="Consolas"/>
        </w:rPr>
        <w:t>Blind_Recheck_RESULT_2026-08-</w:t>
      </w:r>
      <w:proofErr w:type="gramStart"/>
      <w:r>
        <w:rPr>
          <w:rFonts w:ascii="Consolas" w:hAnsi="Consolas"/>
        </w:rPr>
        <w:t>28.json</w:t>
      </w:r>
      <w:proofErr w:type="gramEnd"/>
      <w:r>
        <w:t>, computed from the reviewer's recorded answers and the original reads by a standard-library script with no external dependency.</w:t>
      </w:r>
    </w:p>
    <w:p w14:paraId="3BF8339C" w14:textId="77777777" w:rsidR="0019445B" w:rsidRDefault="00000000">
      <w:pPr>
        <w:spacing w:after="140"/>
      </w:pPr>
      <w:r>
        <w:rPr>
          <w:b/>
        </w:rPr>
        <w:t>Keywords:</w:t>
      </w:r>
      <w:r>
        <w:t xml:space="preserve"> FOIA; FOIL; public records; documentation quality; decision defensibility; records governance; administrative review; convergent validity.</w:t>
      </w:r>
    </w:p>
    <w:p w14:paraId="3BE0A9D6" w14:textId="77777777" w:rsidR="0019445B" w:rsidRDefault="0019445B">
      <w:pPr>
        <w:pBdr>
          <w:bottom w:val="single" w:sz="6" w:space="1" w:color="AAAAAA"/>
        </w:pBdr>
      </w:pPr>
    </w:p>
    <w:p w14:paraId="34E03921" w14:textId="77777777" w:rsidR="0019445B" w:rsidRDefault="00000000">
      <w:pPr>
        <w:pStyle w:val="Heading2"/>
        <w:spacing w:after="140"/>
      </w:pPr>
      <w:r>
        <w:t>1. Introduction</w:t>
      </w:r>
    </w:p>
    <w:p>
      <w:pPr>
        <w:spacing w:after="140"/>
      </w:pPr>
      <w:r>
        <w:t xml:space="preserve">This pilot provides initial evidence regarding the behavior of the documentation read across public-records materials. It does not establish full instrument validity.</w:t>
      </w:r>
    </w:p>
    <w:p w14:paraId="18FC7E48" w14:textId="77777777" w:rsidR="0019445B" w:rsidRDefault="00000000">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w:t>
      </w:r>
      <w:proofErr w:type="spellStart"/>
      <w:r>
        <w:t>programme</w:t>
      </w:r>
      <w:proofErr w:type="spellEnd"/>
      <w:r>
        <w:t>. None of them re-interview the officer's memory. They read the record.</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14:paraId="465AB8D9" w14:textId="77777777" w:rsidR="0019445B" w:rsidRDefault="00000000">
      <w:pPr>
        <w:spacing w:after="140"/>
      </w:pPr>
      <w:r>
        <w:t>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14:paraId="21722D3B" w14:textId="77777777" w:rsidR="0019445B" w:rsidRDefault="00000000">
      <w:pPr>
        <w:pStyle w:val="Heading2"/>
        <w:spacing w:after="140"/>
      </w:pPr>
      <w:r>
        <w:t>2.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14:paraId="6AE824A0" w14:textId="77777777" w:rsidR="0019445B" w:rsidRDefault="00000000">
      <w:pPr>
        <w:pStyle w:val="Heading2"/>
        <w:spacing w:after="140"/>
      </w:pPr>
      <w:r>
        <w:lastRenderedPageBreak/>
        <w:t>3. The instrument</w:t>
      </w:r>
    </w:p>
    <w:p w14:paraId="66D1F407" w14:textId="77777777" w:rsidR="0019445B" w:rsidRDefault="00000000">
      <w:pPr>
        <w:spacing w:after="140"/>
      </w:pPr>
      <w:r>
        <w:t xml:space="preserve">The Justification Review Standard (JRS) asks one question of a record: can a later, independent reviewer rebuild how the conclusion was reached from the record alone? Five conditions carry that question. </w:t>
      </w:r>
      <w:proofErr w:type="spellStart"/>
      <w:r>
        <w:t>Reconstructability</w:t>
      </w:r>
      <w:proofErr w:type="spellEnd"/>
      <w:r>
        <w:t>,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4. Methods</w:t>
      </w:r>
    </w:p>
    <w:p w14:paraId="538E82C2" w14:textId="77777777" w:rsidR="0019445B" w:rsidRDefault="00000000">
      <w:pPr>
        <w:pStyle w:val="Heading3"/>
        <w:spacing w:after="140"/>
      </w:pPr>
      <w:r>
        <w:t>4.1 Design</w:t>
      </w:r>
    </w:p>
    <w:p w14:paraId="1D3B2C9D" w14:textId="77777777" w:rsidR="0019445B" w:rsidRDefault="00000000">
      <w:pPr>
        <w:spacing w:after="140"/>
      </w:pPr>
      <w:r>
        <w:t xml:space="preserve">Retrospective and </w:t>
      </w:r>
      <w:proofErr w:type="gramStart"/>
      <w:r>
        <w:t>records-based</w:t>
      </w:r>
      <w:proofErr w:type="gramEnd"/>
      <w:r>
        <w:t xml:space="preserve">. Each case pairs a real public determination or audit, in which the sufficiency of the record was at issue, with its documented outcome. Two things </w:t>
      </w:r>
      <w:proofErr w:type="gramStart"/>
      <w:r>
        <w:t>are recorded first,</w:t>
      </w:r>
      <w:proofErr w:type="gramEnd"/>
      <w:r>
        <w:t xml:space="preserve">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14:paraId="022B383D" w14:textId="77777777" w:rsidR="0019445B" w:rsidRDefault="00000000">
      <w:pPr>
        <w:pStyle w:val="Heading3"/>
        <w:spacing w:after="140"/>
      </w:pPr>
      <w:r>
        <w:t>4.2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pPr>
        <w:spacing w:after="140"/>
      </w:pPr>
      <w:r>
        <w:t xml:space="preserve">The corpus was purposively assembled to test the feasibility of applying the read across heterogeneous public-records materials. It was not designed as a representative sample of agency public-records determinations and cannot be used to estimate the prevalence of documentation deficiencies.</w:t>
      </w:r>
    </w:p>
    <w:p w14:paraId="14119438" w14:textId="77777777" w:rsidR="0019445B" w:rsidRDefault="00000000">
      <w:pPr>
        <w:pStyle w:val="Heading3"/>
        <w:spacing w:after="140"/>
      </w:pPr>
      <w:r>
        <w:t>4.3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4.4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4.5 Analyses</w:t>
      </w:r>
    </w:p>
    <w:p w14:paraId="15B47805" w14:textId="77777777" w:rsidR="0019445B" w:rsidRDefault="00000000">
      <w:pPr>
        <w:spacing w:after="140"/>
      </w:pPr>
      <w:r>
        <w:t>Five analyses, in the order reported.</w:t>
      </w:r>
    </w:p>
    <w:p w14:paraId="476D15A2" w14:textId="77777777" w:rsidR="0019445B" w:rsidRDefault="00000000">
      <w:pPr>
        <w:spacing w:after="140"/>
      </w:pPr>
      <w:r>
        <w:t>External concordance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The five-case comparison provides initial external concordance evidence. The complete agreement is notable, but the subset is too small to support broad generalization.</w:t>
      </w:r>
    </w:p>
    <w:p w14:paraId="3EE3BC12" w14:textId="77777777" w:rsidR="0019445B" w:rsidRDefault="00000000">
      <w:pPr>
        <w:spacing w:after="140"/>
      </w:pPr>
      <w:r>
        <w:t>The reconstructability analysis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14:paraId="41B2DEAC" w14:textId="77777777" w:rsidR="0019445B" w:rsidRDefault="00000000">
      <w:pPr>
        <w:spacing w:after="140"/>
      </w:pPr>
      <w:r>
        <w:t>The structural analysis tests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14:paraId="7979CCD9" w14:textId="77777777" w:rsidR="0019445B" w:rsidRDefault="00000000">
      <w:pPr>
        <w:spacing w:after="140"/>
      </w:pPr>
      <w:r>
        <w:t>All 32 reads were recorded by a single domain reviewer, who also recorded the outcomes, so the reads are not independent of the person assigning the outcome. Section 7 treats that as a limitation.</w:t>
      </w:r>
    </w:p>
    <w:p w14:paraId="50B48E87" w14:textId="77777777" w:rsidR="0019445B" w:rsidRDefault="00000000">
      <w:pPr>
        <w:pStyle w:val="Heading3"/>
        <w:spacing w:after="140"/>
      </w:pPr>
      <w:r>
        <w:t>4.6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14:paraId="7B5176F1" w14:textId="77777777" w:rsidR="0019445B" w:rsidRDefault="00000000">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w:t>
      </w:r>
      <w:proofErr w:type="gramStart"/>
      <w:r>
        <w:t>none, and</w:t>
      </w:r>
      <w:proofErr w:type="gramEnd"/>
      <w:r>
        <w:t xml:space="preserve">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14:paraId="7F4D06B0" w14:textId="77777777" w:rsidR="0019445B" w:rsidRDefault="00000000">
      <w:pPr>
        <w:pStyle w:val="Heading2"/>
        <w:spacing w:after="140"/>
      </w:pPr>
      <w:r>
        <w:t>5. Results</w:t>
      </w:r>
    </w:p>
    <w:p w14:paraId="490699FA" w14:textId="77777777" w:rsidR="0019445B" w:rsidRDefault="00000000">
      <w:pPr>
        <w:pStyle w:val="Heading3"/>
        <w:spacing w:after="140"/>
      </w:pPr>
      <w:r>
        <w:t>5.1 The instrument applied to real material</w:t>
      </w:r>
    </w:p>
    <w:p w14:paraId="1D4DF865" w14:textId="77777777" w:rsidR="0019445B" w:rsidRDefault="00000000">
      <w:pPr>
        <w:spacing w:after="140"/>
      </w:pPr>
      <w:r>
        <w:t>Reads across the 32 cases: 18 Ready, 9 Needs work, 5 Gap. Documented outcomes: 15 determinations did not survive review, 7 contested without a recorded disposition, 5 sustained, 5 adverse audit findings.</w:t>
      </w:r>
      <w:r>
        <w:t xml:space="preserve">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14:paraId="7A9B5A0B" w14:textId="77777777" w:rsidR="0019445B" w:rsidRDefault="00000000">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w:t>
      </w:r>
      <w:r>
        <w:lastRenderedPageBreak/>
        <w:t>contemporaneous basis note, mean length 211 characters. That answers the first research question and supplies the applied case set the field did not previously have.</w:t>
      </w:r>
    </w:p>
    <w:p w14:paraId="34DA5FC4" w14:textId="77777777" w:rsidR="0019445B" w:rsidRDefault="00000000">
      <w:pPr>
        <w:pStyle w:val="Heading3"/>
        <w:spacing w:after="140"/>
      </w:pPr>
      <w:r>
        <w:t>5.2 External concordance with independent audit findings</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14:paraId="57363ADF" w14:textId="77777777" w:rsidR="0019445B" w:rsidRDefault="00000000">
      <w:pPr>
        <w:spacing w:after="140"/>
      </w:pPr>
      <w:r>
        <w:t>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14:paraId="567D7113" w14:textId="77777777" w:rsidR="0019445B" w:rsidRDefault="00000000">
      <w:pPr>
        <w:spacing w:after="140"/>
      </w:pPr>
      <w:r>
        <w:t xml:space="preserve">Concordance is five of five. Two instruments built with no knowledge of each other, a documentation read applied to the source and a government audit applied to the </w:t>
      </w:r>
      <w:proofErr w:type="spellStart"/>
      <w:r>
        <w:t>programme</w:t>
      </w:r>
      <w:proofErr w:type="spellEnd"/>
      <w:r>
        <w:t>, reached the same conclusion in every case where both were available.</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pPr>
        <w:pStyle w:val="Heading3"/>
        <w:spacing w:after="140"/>
      </w:pPr>
      <w:r>
        <w:t xml:space="preserve">5.3 Alignment with reconstructability</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14:paraId="72C05FD2" w14:textId="77777777" w:rsidR="0019445B" w:rsidRDefault="00000000">
      <w:pPr>
        <w:spacing w:after="140"/>
      </w:pPr>
      <w:r>
        <w:t xml:space="preserve">The construct comparison is restricted to the 27 case-level sources classified Ready or Needs work; the 5 </w:t>
      </w:r>
      <w:proofErr w:type="spellStart"/>
      <w:r>
        <w:t>programme</w:t>
      </w:r>
      <w:proofErr w:type="spellEnd"/>
      <w:r>
        <w:t xml:space="preserve">-level audit sources classified Gap are analyzed separately in Section 5.2. It is further restricted to the 24 of those 27 that carry a note, because a case with no note cannot be coded for what its note states, and counting it as not stating a </w:t>
      </w:r>
      <w:proofErr w:type="spellStart"/>
      <w:r>
        <w:t>reconstructability</w:t>
      </w:r>
      <w:proofErr w:type="spellEnd"/>
      <w:r>
        <w:t xml:space="preserve">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14:paraId="1A64E8EE" w14:textId="77777777" w:rsidR="0019445B" w:rsidRDefault="00000000">
      <w:pPr>
        <w:spacing w:after="140"/>
      </w:pPr>
      <w:r>
        <w:t>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14:paraId="2C48B78C" w14:textId="77777777" w:rsidR="0019445B" w:rsidRDefault="00000000">
      <w:pPr>
        <w:pStyle w:val="Heading3"/>
        <w:spacing w:after="140"/>
      </w:pPr>
      <w:r>
        <w:t>5.4 Structural differentiation across source types</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14:paraId="76143A9D" w14:textId="77777777" w:rsidR="0019445B" w:rsidRDefault="00000000">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w:t>
      </w:r>
      <w:r>
        <w:lastRenderedPageBreak/>
        <w:t>itself. Court decisions summarize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14:paraId="78E49332" w14:textId="77777777" w:rsidR="0019445B" w:rsidRDefault="00000000">
      <w:pPr>
        <w:spacing w:after="140"/>
      </w:pPr>
      <w:r>
        <w:t xml:space="preserve">The instrument separates document classes by how much </w:t>
      </w:r>
      <w:proofErr w:type="spellStart"/>
      <w:r>
        <w:t>reconstructable</w:t>
      </w:r>
      <w:proofErr w:type="spellEnd"/>
      <w:r>
        <w:t xml:space="preserv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14:paraId="73EFE314" w14:textId="77777777" w:rsidR="0019445B" w:rsidRDefault="00000000">
      <w:pPr>
        <w:pStyle w:val="Heading3"/>
        <w:spacing w:after="140"/>
      </w:pPr>
      <w:r>
        <w:t>5.5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14:paraId="0AB693E8" w14:textId="77777777" w:rsidR="0019445B" w:rsidRDefault="00000000">
      <w:pPr>
        <w:spacing w:after="140"/>
      </w:pPr>
      <w:r>
        <w:t xml:space="preserve">Read alongside Sections 5.3 and 5.4, this is the expected </w:t>
      </w:r>
      <w:proofErr w:type="gramStart"/>
      <w:r>
        <w:t>result</w:t>
      </w:r>
      <w:proofErr w:type="gramEnd"/>
      <w:r>
        <w:t xml:space="preserve">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w:t>
      </w:r>
      <w:proofErr w:type="spellStart"/>
      <w:r>
        <w:t>reconstructability</w:t>
      </w:r>
      <w:proofErr w:type="spellEnd"/>
      <w:r>
        <w:t xml:space="preserve">. Appellate outcome measures something else. Two variables that measure different things are not expected to </w:t>
      </w:r>
      <w:proofErr w:type="gramStart"/>
      <w:r>
        <w:t>correlate, and</w:t>
      </w:r>
      <w:proofErr w:type="gramEnd"/>
      <w:r>
        <w:t xml:space="preserve"> establishing that before a larger study is built on the opposite assumption is worth the space it takes.</w:t>
      </w:r>
    </w:p>
    <w:p w14:paraId="79A0CF37" w14:textId="77777777" w:rsidR="0019445B" w:rsidRDefault="00000000">
      <w:pPr>
        <w:pStyle w:val="Heading3"/>
        <w:spacing w:after="140"/>
      </w:pPr>
      <w:r>
        <w:t>5.6 Blind second read</w:t>
      </w:r>
    </w:p>
    <w:p>
      <w:pPr>
        <w:spacing w:after="140"/>
      </w:pPr>
      <w:r>
        <w:t xml:space="preserve">The single Gap case included in the blind second-read subset was classified identically by both reviewers. Because only one Gap case was included, this observation cannot support a category-specific reliability estimate. The figures below are preliminary inter-reader reproducibility evidence and do not show that reader dependence has been resolved.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14:paraId="424007CE" w14:textId="77777777" w:rsidR="0019445B" w:rsidRDefault="00000000">
      <w:pPr>
        <w:spacing w:after="140"/>
      </w:pPr>
      <w:r>
        <w:t xml:space="preserve">Two further coefficients are reported because the unweighted figure is not the only defensible one for this scale, and reporting only the most </w:t>
      </w:r>
      <w:proofErr w:type="spellStart"/>
      <w:r>
        <w:t>favourable</w:t>
      </w:r>
      <w:proofErr w:type="spellEnd"/>
      <w:r>
        <w:t xml:space="preserve"> of the three would be a choice made after seeing the data. The scale is ordinal, Ready to Needs work to Gap, and </w:t>
      </w:r>
      <w:r>
        <w:rPr>
          <w:b/>
        </w:rPr>
        <w:t>all 3 disagreements were between adjacent categories; none was a Ready against a Gap.</w:t>
      </w:r>
      <w:r>
        <w:t xml:space="preserve"> Linear weighted kappa, which credits an adjacent disagreement more than a distant one, is 0.559. </w:t>
      </w:r>
      <w:proofErr w:type="spellStart"/>
      <w:r>
        <w:t>Gwet's</w:t>
      </w:r>
      <w:proofErr w:type="spellEnd"/>
      <w:r>
        <w:t xml:space="preserve"> AC1, which does not collapse when one category holds most of the margin, as Ready does here at 6 of 10, is 0.582. All three rest on 10 cases and none of them should be read as a stable estimate.</w:t>
      </w:r>
    </w:p>
    <w:p w14:paraId="2D785223" w14:textId="77777777" w:rsidR="0019445B" w:rsidRDefault="00000000">
      <w:pPr>
        <w:spacing w:after="140"/>
      </w:pPr>
      <w:r>
        <w:lastRenderedPageBreak/>
        <w:t xml:space="preserve">The disagreements are not symmetric: the second reader was stricter than the original on 2 cases and more lenient on 1. They were case 1, read Ready </w:t>
      </w:r>
      <w:proofErr w:type="gramStart"/>
      <w:r>
        <w:t>originally</w:t>
      </w:r>
      <w:proofErr w:type="gramEnd"/>
      <w:r>
        <w:t xml:space="preserve"> and Needs work on re-read; case 4, read Ready </w:t>
      </w:r>
      <w:proofErr w:type="gramStart"/>
      <w:r>
        <w:t>originally</w:t>
      </w:r>
      <w:proofErr w:type="gramEnd"/>
      <w:r>
        <w:t xml:space="preserve">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14:paraId="7BF3DC8E" w14:textId="77777777" w:rsidR="0019445B" w:rsidRDefault="00000000">
      <w:pPr>
        <w:pStyle w:val="Heading2"/>
        <w:spacing w:after="140"/>
      </w:pPr>
      <w:r>
        <w:t>6. Discussion</w:t>
      </w:r>
    </w:p>
    <w:p>
      <w:pPr>
        <w:spacing w:after="140"/>
      </w:pPr>
      <w:r>
        <w:t xml:space="preserve">The null relationship between documentation reads and appellate disposition should not be interpreted as evidence that the read lacks sensitivity to documentation quality. Published appellate decisions are selected around contested legal questions and may not preserve the same relationship between record quality and institutional outcome that would be expected in a broader administrative corpus. Separate work in another domain has observed a different pattern, but that evidence is outside the present dataset and is not used as validation evidence in this study.</w:t>
      </w:r>
    </w:p>
    <w:p w14:paraId="55613D9A" w14:textId="77777777" w:rsidR="0019445B" w:rsidRDefault="00000000">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w:t>
      </w:r>
      <w:proofErr w:type="spellStart"/>
      <w:r>
        <w:t>reconstructability</w:t>
      </w:r>
      <w:proofErr w:type="spellEnd"/>
      <w:r>
        <w:t xml:space="preserve">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14:paraId="0E852D1E" w14:textId="77777777" w:rsidR="0019445B" w:rsidRDefault="00000000">
      <w:pPr>
        <w:spacing w:after="140"/>
      </w:pPr>
      <w:r>
        <w:t>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14:paraId="26208827" w14:textId="77777777" w:rsidR="0019445B" w:rsidRDefault="00000000">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w:t>
      </w:r>
      <w:proofErr w:type="spellStart"/>
      <w:r>
        <w:t>reconstructability</w:t>
      </w:r>
      <w:proofErr w:type="spellEnd"/>
      <w:r>
        <w:t xml:space="preserve">, catching the case where better tooling produces fluent but </w:t>
      </w:r>
      <w:proofErr w:type="spellStart"/>
      <w:r>
        <w:t>unreconstructable</w:t>
      </w:r>
      <w:proofErr w:type="spellEnd"/>
      <w:r>
        <w:t xml:space="preserve"> records.</w:t>
      </w:r>
    </w:p>
    <w:p w14:paraId="4914191C" w14:textId="77777777" w:rsidR="0019445B" w:rsidRDefault="00000000">
      <w:pPr>
        <w:spacing w:after="140"/>
      </w:pPr>
      <w:r>
        <w:t>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14:paraId="231411F4" w14:textId="77777777" w:rsidR="0019445B" w:rsidRDefault="00000000">
      <w:pPr>
        <w:pStyle w:val="Heading2"/>
        <w:spacing w:after="140"/>
      </w:pPr>
      <w:r>
        <w:t>7. Limitations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14:paraId="57F58B34" w14:textId="77777777" w:rsidR="0019445B" w:rsidRDefault="00000000">
      <w:pPr>
        <w:spacing w:after="140"/>
      </w:pPr>
      <w:r>
        <w:t>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14:paraId="01EA3FE8" w14:textId="77777777" w:rsidR="0019445B" w:rsidRDefault="00000000">
      <w:pPr>
        <w:spacing w:after="140"/>
      </w:pPr>
      <w:r>
        <w:t>The note coding in Section 5.3 is post-hoc rather than pre-</w:t>
      </w:r>
      <w:proofErr w:type="gramStart"/>
      <w:r>
        <w:t>registered, and</w:t>
      </w:r>
      <w:proofErr w:type="gramEnd"/>
      <w:r>
        <w:t xml:space="preserve"> is reported as construct evidence rather than as a confirmatory test.</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14:paraId="79FC3096" w14:textId="77777777" w:rsidR="0019445B" w:rsidRDefault="00000000">
      <w:pPr>
        <w:spacing w:after="140"/>
      </w:pPr>
      <w:r>
        <w:t>The external-concordance result rests on five audits, and in this corpus document class and read are not independent, which bounds Sections 5.2 and 5.4 to the readings given there.</w:t>
      </w:r>
    </w:p>
    <w:p w14:paraId="5AE0E97F" w14:textId="77777777" w:rsidR="0019445B" w:rsidRDefault="00000000">
      <w:pPr>
        <w:spacing w:after="140"/>
      </w:pPr>
      <w:r>
        <w:t>The corpus is two states, New York and Connecticut. Generalization beyond them is not claimed.</w:t>
      </w:r>
    </w:p>
    <w:p w14:paraId="016A827C" w14:textId="77777777" w:rsidR="0019445B" w:rsidRDefault="00000000">
      <w:pPr>
        <w:spacing w:after="140"/>
      </w:pPr>
      <w:r>
        <w:t>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8. Conclusion</w:t>
      </w:r>
    </w:p>
    <w:p w14:paraId="10241D57" w14:textId="77777777" w:rsidR="0019445B" w:rsidRDefault="00000000">
      <w:pPr>
        <w:spacing w:after="140"/>
      </w:pPr>
      <w:r>
        <w:t>The drafting tool and the technology stack will keep changing. The evidentiary test does not. A public-records determination that cannot be rebuilt from its own contents cannot be independently defended, whoever or whatever produced it.</w:t>
      </w:r>
    </w:p>
    <w:p w14:paraId="54863C6A" w14:textId="77777777" w:rsidR="0019445B" w:rsidRDefault="00000000">
      <w:pPr>
        <w:spacing w:after="140"/>
      </w:pPr>
      <w:r>
        <w:t xml:space="preserve">This pilot delivers a working protocol, a completed and citable 32-case set spanning four document classes, two states and twenty-one years of decisions, agreement with independent </w:t>
      </w:r>
      <w:r>
        <w:lastRenderedPageBreak/>
        <w:t xml:space="preserve">government auditors in every case where both instruments were available, and two independent lines of evidence that the read tracks </w:t>
      </w:r>
      <w:proofErr w:type="spellStart"/>
      <w:r>
        <w:t>reconstructability</w:t>
      </w:r>
      <w:proofErr w:type="spellEnd"/>
      <w:r>
        <w:t xml:space="preserve">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w:t>
      </w:r>
    </w:p>
    <w:p>
      <w:pPr>
        <w:spacing w:after="140"/>
      </w:pPr>
      <w:r>
        <w:t xml:space="preserve">The pilot provides initial evidence that a structured documentation read can be applied consistently enough to warrant further study, and that its classifications show meaningful alignment with reconstructability-related characteristics and with independent audit findings in this corpus. Larger studies using independent reviewers, broader populations, and external comparison measures are required before stronger validation claims can be made.</w:t>
      </w:r>
    </w:p>
    <w:p w14:paraId="762EB877" w14:textId="77777777" w:rsidR="0019445B" w:rsidRDefault="00000000">
      <w:pPr>
        <w:pStyle w:val="Heading2"/>
        <w:spacing w:after="140"/>
      </w:pPr>
      <w:r>
        <w:t>References</w:t>
      </w:r>
    </w:p>
    <w:p w14:paraId="796797DA" w14:textId="77777777" w:rsidR="0019445B" w:rsidRDefault="00000000">
      <w:pPr>
        <w:spacing w:after="140"/>
      </w:pPr>
      <w:r>
        <w:t xml:space="preserve">Chief FOIA Officers Council. (2026, May 28). </w:t>
      </w:r>
      <w:r>
        <w:rPr>
          <w:i/>
        </w:rPr>
        <w:t>Memorandum: data collection and volunteers</w:t>
      </w:r>
      <w:r>
        <w:t xml:space="preserve"> [Government-wide FOIA technology inventory initiative]. United States Department of Justice.</w:t>
      </w:r>
    </w:p>
    <w:p w14:paraId="16397252" w14:textId="77777777" w:rsidR="0019445B" w:rsidRDefault="00000000">
      <w:pPr>
        <w:spacing w:after="140"/>
      </w:pPr>
      <w:proofErr w:type="spellStart"/>
      <w:r>
        <w:t>Gwet</w:t>
      </w:r>
      <w:proofErr w:type="spellEnd"/>
      <w:r>
        <w:t xml:space="preserve">, K. L. (2008). Computing inter-rater reliability and its variance in the presence of high agreement. </w:t>
      </w:r>
      <w:r>
        <w:rPr>
          <w:i/>
        </w:rPr>
        <w:t>British Journal of Mathematical and Statistical Psychology, 61</w:t>
      </w:r>
      <w:r>
        <w:t>(1), 29-48.</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14:paraId="610DF685" w14:textId="7A8F034F" w:rsidR="00544BA4" w:rsidRDefault="00000000" w:rsidP="006F683F">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w:t>
      </w:r>
      <w:r>
        <w:lastRenderedPageBreak/>
        <w:t xml:space="preserve">figure in Section 5 is reproduced by </w:t>
      </w:r>
      <w:r>
        <w:rPr>
          <w:rFonts w:ascii="Consolas" w:hAnsi="Consolas"/>
        </w:rPr>
        <w:t>analysis.py</w:t>
      </w:r>
      <w:r>
        <w:t xml:space="preserve">,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w:t>
      </w:r>
      <w:proofErr w:type="spellStart"/>
      <w:r>
        <w:t>Gwet's</w:t>
      </w:r>
      <w:proofErr w:type="spellEnd"/>
      <w:r>
        <w:t xml:space="preserve"> AC1 are written out in that file rather than imported. The blind second read of Section 5.6, its per-case answers and every coefficient are held in </w:t>
      </w:r>
      <w:r>
        <w:rPr>
          <w:rFonts w:ascii="Consolas" w:hAnsi="Consolas"/>
        </w:rPr>
        <w:t>Blind_Recheck_RESULT_2026-08-</w:t>
      </w:r>
      <w:proofErr w:type="gramStart"/>
      <w:r>
        <w:rPr>
          <w:rFonts w:ascii="Consolas" w:hAnsi="Consolas"/>
        </w:rPr>
        <w:t>28.json</w:t>
      </w:r>
      <w:proofErr w:type="gramEnd"/>
      <w:r>
        <w:t>. The complete case set with citations and notes is available from the authors and will be released with publication.</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