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an initial question a measurement programme must address: given an operational definition of DRR, can independent domain experts distinguish records that satisfy it from records that do not? If they cannot, no governance control resting on human review of documentation can work.</w:t>
      </w:r>
    </w:p>
    <w:p>
      <w:pPr>
        <w:spacing w:after="140"/>
      </w:pPr>
      <w:r>
        <w:rPr>
          <w:b/>
        </w:rPr>
        <w:t xml:space="preserve">Methods.</w:t>
      </w:r>
      <w:r>
        <w:t xml:space="preserve"> A balanced corpus of 24 constructed, de-identified, AI-generated records (12 grounded, 12 unsupported) was judged by an international panel of independent experts against a pre-specified reference classification fixed before recruitment and independently reproduced by raters blind to the study hypotheses. Reviewers worked independently, blind to that classification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reference classification was 83.9 percent (95 percent CI 72.7 to 95.1 at participant level), with sensitivity 87.0 percent for unsupported records and specificity 80.7 percent for grounded ones. This clears the pre-registered detection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reading a record cold, cannot tell one whose reasoning is present from one whose reasoning is absent, then documentation risk is not a governable property and no control built on human review can work.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raters blind to the hypotheses,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blinded raters, blind to that classification and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credentialed professionals drawn from the same pool and randomised within it, so the two arms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The generation prompts, the model and version used for each record, the generation dates, and the extent of human editing per record are recorded in the corpus construction log, which is part of the materials released under the data-availability terms in Section 11.</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any reviewer was recruited,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w:t>
      </w:r>
      <w:r>
        <w:t xml:space="preserve"> The intended classification was then withheld and the corpus was given to blind raters who did not see the study's hypotheses, did not see the author-side classification, and were not told that a reference classification existed to be recovered. They were asked to classify each record as grounded or unsupported. They reproduced the author-side classification on 24 of 24 records. There were no disagreements, so no adjudication procedure was invoked and no classification changed.</w:t>
      </w:r>
    </w:p>
    <w:p>
      <w:pPr>
        <w:spacing w:after="140"/>
      </w:pPr>
      <w:r>
        <w:rPr>
          <w:b/>
        </w:rPr>
        <w:t xml:space="preserve">What this establishes, and what it does not.</w:t>
      </w:r>
      <w:r>
        <w:t xml:space="preserve"> Unanimous reproduction by raters blind to the hypotheses rules out the objection that the reference classification was fitted to the reviewers' responses after the fact. It does not, however, remove the construct-dependence described below, and it does not rule out a weaker but real objection: the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blind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blind raters, and the record-by-record reproduction result. Nothing about the reference classification is withheld from a reader who wants to test it.</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The 95 percent confidence interval for the panel mean was calculated using a Student t interval across the sixteen reviewer accuracy scores, with reviewers as the independent sampling units.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each reviewer as the unit of observation and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on this corpus, while the record component is weakly identified and permits a materially larger effect within its profile-likelihood interval.</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among the expert panel of at least 0.61, </w:t>
      </w:r>
      <w:r>
        <w:rPr>
          <w:b/>
        </w:rPr>
        <w:t xml:space="preserve">with the lower bound of its confidence interval at least 0.41.</w:t>
      </w:r>
      <w:r>
        <w:t xml:space="preserve"> Both parts are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experts; the remainder are trained reviewers.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trained-reviewer coefficient is 0.623, and pooling the baseline labels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Those participants are credentialed professionals of the same standing as the panel reported here,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does not know which part of the distribution it has drawn from.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On a shared set of 10 records carrying 113 submitted determinations under the five-condition instrument,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Trained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0.253 to 0.994</w:t>
            </w:r>
          </w:p>
        </w:tc>
        <w:tc>
          <w:tcPr>
            <w:tcW w:w="1337" w:type="dxa"/>
          </w:tcPr>
          <w:p>
            <w:pPr>
              <w:spacing w:after="0"/>
            </w:pPr>
            <w:r>
              <w:t xml:space="preserve">0.301 to 0.886</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trained-reviewer lower bound is 0.253.</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expert panel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should therefore be read as evidence supporting the feasibility of its underlying review logic, not as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is open; that the layer needs operationalising seems to us harder to dispute.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that those same experts vary widely among themselves, and that a pre-registered reliability criterion was not met on the sample available.</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the 24 constructed records; the corpus construction log, including generation model, version, date, prompt, and extent of human editing per record; the full reference classification with the reason and evidentiary defect or support for each record and the JRS conditions implicated; the instructions given to the blind reference raters and their record-by-record reproduction result; coded participant-level response data, released subject to the study's access and confidentiality terms; and the analysis scripts that produce every figure in this paper.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(Bates et al., 2015; Barr et al., 2013):</w:t>
      </w:r>
    </w:p>
    <w:p>
      <w:pPr>
        <w:spacing w:after="140"/>
      </w:pPr>
      <w:r>
        <w:rPr>
          <w:rFonts w:ascii="Consolas" w:hAnsi="Consolas"/>
        </w:rPr>
        <w:t xml:space="preserve">`</w:t>
      </w:r>
    </w:p>
    <w:p>
      <w:pPr>
        <w:spacing w:after="140"/>
      </w:pPr>
      <w:r>
        <w:t xml:space="preserve">correct ~ 1 + (1 | reviewer) + (1 | record)</w:t>
      </w:r>
    </w:p>
    <w:p>
      <w:pPr>
        <w:spacing w:after="140"/>
      </w:pP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reviewer variance is substantially larger than the estimated record variance on this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generated from the per-read analysis dataset using the archived analysis implementation, which returns aggregate results without exposing individual reviewer responses.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expert and seventeen trained, produced the coefficients in Section 6.5 and the per-condition analysis in Appendix B, which exists only because they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one has, and her judgments remain in the analysis unnamed at her election.</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