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When AI-Drafted Employment Records Become Evidence</w:t>
      </w:r>
    </w:p>
    <w:p>
      <w:pPr>
        <w:spacing w:after="140"/>
      </w:pPr>
      <w:r>
        <w:t xml:space="preserve">By Hekim Colpan and Phillip Wikes</w:t>
      </w:r>
    </w:p>
    <w:p>
      <w:pPr>
        <w:spacing w:after="140"/>
      </w:pPr>
      <w:r>
        <w:rPr>
          <w:i/>
        </w:rPr>
        <w:t xml:space="preserve">Both authors contributed equally. Names appear in alphabetical order. Hekim Colpan contributes in a personal professional capacity; the views expressed are his own and do not represent the position of any employer or institution. Phillip Wikes developed the Justification Review Standard described below.</w:t>
      </w:r>
    </w:p>
    <w:p>
      <w:pPr>
        <w:pStyle w:val="Heading2"/>
        <w:spacing w:after="140"/>
      </w:pPr>
      <w:r>
        <w:t xml:space="preserve">When the stated reason becomes the issue</w:t>
      </w:r>
    </w:p>
    <w:p>
      <w:pPr>
        <w:spacing w:after="140"/>
      </w:pPr>
      <w:r>
        <w:t xml:space="preserve">An employment decision does not end when a manager makes it. A performance evaluation, warning, promotion decision or termination memorandum may later become evidence through which someone asks whether the stated reason was legitimate, consistently applied and supported by what was known at the time.</w:t>
      </w:r>
    </w:p>
    <w:p>
      <w:pPr>
        <w:spacing w:after="140"/>
      </w:pPr>
      <w:r>
        <w:t xml:space="preserve">When AI helps draft that record, the risk is not that the prose contains an error. It is that the record can become more polished than the evidence beneath it.</w:t>
      </w:r>
    </w:p>
    <w:p>
      <w:pPr>
        <w:spacing w:after="140"/>
      </w:pPr>
      <w:r>
        <w:t xml:space="preserve">We call that gap Decision Reconstruction Risk: the condition in which a consequential record can no longer show, on its own, why the decision was made. In employment matters that gap matters because discrimination disputes can turn on the reasons an employer gives and the evidence surrounding them.</w:t>
      </w:r>
    </w:p>
    <w:p>
      <w:pPr>
        <w:pStyle w:val="Heading2"/>
        <w:spacing w:after="140"/>
      </w:pPr>
      <w:r>
        <w:t xml:space="preserve">Pretext starts with the record</w:t>
      </w:r>
    </w:p>
    <w:p>
      <w:pPr>
        <w:spacing w:after="140"/>
      </w:pPr>
      <w:r>
        <w:rPr>
          <w:i/>
        </w:rPr>
        <w:t xml:space="preserve">McDonnell Douglas Corp. v. Green</w:t>
      </w:r>
      <w:r>
        <w:t xml:space="preserve"> established a burden-shifting framework under which, where that framework applies, an employer may articulate a legitimate, nondiscriminatory reason for an employment action and the plaintiff may seek to show that reason is pretextual.</w:t>
      </w:r>
    </w:p>
    <w:p>
      <w:pPr>
        <w:spacing w:after="140"/>
      </w:pPr>
      <w:r>
        <w:t xml:space="preserve">The Supreme Court did not hold that documentation quality determines whether discrimination occurred. Documentation can matter when the stated reason is tested against contemporaneous evidence, prior records and the consistency of the employer's explanation.</w:t>
      </w:r>
    </w:p>
    <w:p>
      <w:pPr>
        <w:spacing w:after="140"/>
      </w:pPr>
      <w:r>
        <w:t xml:space="preserve">The underlying history may include emails, attendance records, completed work and prior feedback, while the final document contains a polished narrative that does not clearly connect its conclusions to those materials. An employer in that position can articulate its reason. What it may not be able to do is show the reason was the one it actually applied.</w:t>
      </w:r>
    </w:p>
    <w:p>
      <w:pPr>
        <w:spacing w:after="140"/>
      </w:pPr>
      <w:r>
        <w:t xml:space="preserve">The decision may well have been the right one. The record may still be unable to demonstrate why it was made.</w:t>
      </w:r>
    </w:p>
    <w:p>
      <w:pPr>
        <w:pStyle w:val="Heading2"/>
        <w:spacing w:after="140"/>
      </w:pPr>
      <w:r>
        <w:t xml:space="preserve">The pattern may appear only across employees</w:t>
      </w:r>
    </w:p>
    <w:p>
      <w:pPr>
        <w:spacing w:after="140"/>
      </w:pPr>
      <w:r>
        <w:t xml:space="preserve">A single record is reviewed on its own terms. A workforce of records is reviewed together. That is where AI-assisted drafting introduces a risk most organizations do not currently measure.</w:t>
      </w:r>
    </w:p>
    <w:p>
      <w:pPr>
        <w:spacing w:after="140"/>
      </w:pPr>
      <w:r>
        <w:t xml:space="preserve">AI-assisted drafting can reproduce language across performance reviews, disciplinary records and promotion decisions. A phrase that appears neutral in one file may take on a different significance when it recurs across a group. The mechanism is straightforward: a drafting tool prompted with prior records may reproduce similar characterizations, while a reviewer approving one record at a time may have no vantage point from which to notice the pattern.</w:t>
      </w:r>
    </w:p>
    <w:p>
      <w:pPr>
        <w:spacing w:after="140"/>
      </w:pPr>
      <w:r>
        <w:t xml:space="preserve">Examples include "cultural fit," "executive presence," "not adaptable," "communication style" and "struggles with change." None establishes discrimination by itself. The issue is what happens when subjective language is repeatedly used to describe employees who share a protected characteristic and the organization cannot identify the evidence behind those descriptions.</w:t>
      </w:r>
    </w:p>
    <w:p>
      <w:pPr>
        <w:spacing w:after="140"/>
      </w:pPr>
      <w:r>
        <w:t xml:space="preserve">Side-by-side review asks two questions: whether the same subjective standards are being applied across employees, and whether the organization can identify the evidence supporting them. Disparate treatment and disparate impact remain distinct theories with different elements and proof structures. Recurring language does not establish either one by itself, but it can become relevant evidence when combined with surrounding facts, employment outcomes and decision history.</w:t>
      </w:r>
    </w:p>
    <w:p>
      <w:pPr>
        <w:spacing w:after="140"/>
      </w:pPr>
      <w:r>
        <w:t xml:space="preserve">Banning particular phrases achieves little. What helps is requiring subjective conclusions to be connected to identifiable evidence before the record becomes final, and reading across records rather than only at each one.</w:t>
      </w:r>
    </w:p>
    <w:p>
      <w:pPr>
        <w:pStyle w:val="Heading2"/>
        <w:spacing w:after="140"/>
      </w:pPr>
      <w:r>
        <w:t xml:space="preserve">What a defensible employment record should show</w:t>
      </w:r>
    </w:p>
    <w:p>
      <w:pPr>
        <w:spacing w:after="140"/>
      </w:pPr>
      <w:r>
        <w:t xml:space="preserve">A consequential employment record should allow an independent reviewer to answer four questions:</w:t>
      </w:r>
    </w:p>
    <w:p>
      <w:pPr>
        <w:numPr>
          <w:ilvl w:val="0"/>
          <w:numId w:val="1"/>
        </w:numPr>
        <w:spacing w:after="60"/>
      </w:pPr>
      <w:r>
        <w:t xml:space="preserve">What happened?</w:t>
      </w:r>
    </w:p>
    <w:p>
      <w:pPr>
        <w:numPr>
          <w:ilvl w:val="0"/>
          <w:numId w:val="1"/>
        </w:numPr>
        <w:spacing w:after="60"/>
      </w:pPr>
      <w:r>
        <w:t xml:space="preserve">What evidence supports the characterization?</w:t>
      </w:r>
    </w:p>
    <w:p>
      <w:pPr>
        <w:numPr>
          <w:ilvl w:val="0"/>
          <w:numId w:val="1"/>
        </w:numPr>
        <w:spacing w:after="60"/>
      </w:pPr>
      <w:r>
        <w:t xml:space="preserve">Why did those facts matter?</w:t>
      </w:r>
    </w:p>
    <w:p>
      <w:pPr>
        <w:numPr>
          <w:ilvl w:val="0"/>
          <w:numId w:val="1"/>
        </w:numPr>
        <w:spacing w:after="60"/>
      </w:pPr>
      <w:r>
        <w:t xml:space="preserve">Was the same reasoning applied consistently?</w:t>
      </w:r>
    </w:p>
    <w:p>
      <w:pPr>
        <w:spacing w:after="140"/>
      </w:pPr>
      <w:r>
        <w:t xml:space="preserve">"Not a strong cultural fit" is a conclusion. A record identifying specific conduct, dates, expectations and prior feedback gives a reviewer something that can be examined.</w:t>
      </w:r>
    </w:p>
    <w:p>
      <w:pPr>
        <w:spacing w:after="140"/>
      </w:pPr>
      <w:r>
        <w:rPr>
          <w:b/>
        </w:rPr>
        <w:t xml:space="preserve">Before:</w:t>
      </w:r>
      <w:r>
        <w:t xml:space="preserve"> "Attendance issues affecting the team."</w:t>
      </w:r>
    </w:p>
    <w:p>
      <w:pPr>
        <w:spacing w:after="140"/>
      </w:pPr>
      <w:r>
        <w:rPr>
          <w:b/>
        </w:rPr>
        <w:t xml:space="preserve">After:</w:t>
      </w:r>
      <w:r>
        <w:t xml:space="preserve"> "Missed nine scheduled shifts between January and March. Attendance expectations were discussed in documented feedback on two occasions."</w:t>
      </w:r>
    </w:p>
    <w:p>
      <w:pPr>
        <w:spacing w:after="140"/>
      </w:pPr>
      <w:r>
        <w:rPr>
          <w:b/>
        </w:rPr>
        <w:t xml:space="preserve">Before:</w:t>
      </w:r>
      <w:r>
        <w:t xml:space="preserve"> "Lacks professionalism."</w:t>
      </w:r>
    </w:p>
    <w:p>
      <w:pPr>
        <w:spacing w:after="140"/>
      </w:pPr>
      <w:r>
        <w:rPr>
          <w:b/>
        </w:rPr>
        <w:t xml:space="preserve">After:</w:t>
      </w:r>
      <w:r>
        <w:t xml:space="preserve"> "Missed client deliverable deadlines on March 3, March 10 and March 17. Feedback was provided after each occurrence."</w:t>
      </w:r>
    </w:p>
    <w:p>
      <w:pPr>
        <w:spacing w:after="140"/>
      </w:pPr>
      <w:r>
        <w:t xml:space="preserve">The second versions make the basis of the judgment visible and give a later reviewer evidence against which the stated reason can be tested.</w:t>
      </w:r>
    </w:p>
    <w:p>
      <w:pPr>
        <w:pStyle w:val="Heading2"/>
        <w:spacing w:after="140"/>
      </w:pPr>
      <w:r>
        <w:t xml:space="preserve">A pre-finalization control can close the gap</w:t>
      </w:r>
    </w:p>
    <w:p>
      <w:pPr>
        <w:spacing w:after="140"/>
      </w:pPr>
      <w:r>
        <w:t xml:space="preserve">The control does not require a new platform or a wholesale redesign. It can be a structured review before a consequential employment record becomes final.</w:t>
      </w:r>
    </w:p>
    <w:p>
      <w:pPr>
        <w:spacing w:after="140"/>
      </w:pPr>
      <w:r>
        <w:t xml:space="preserve">At minimum, the review should require the organization to:</w:t>
      </w:r>
    </w:p>
    <w:p>
      <w:pPr>
        <w:numPr>
          <w:ilvl w:val="0"/>
          <w:numId w:val="3"/>
        </w:numPr>
        <w:spacing w:after="60"/>
      </w:pPr>
      <w:r>
        <w:t xml:space="preserve">Identify the human author and any AI tools used in drafting.</w:t>
      </w:r>
    </w:p>
    <w:p>
      <w:pPr>
        <w:numPr>
          <w:ilvl w:val="0"/>
          <w:numId w:val="3"/>
        </w:numPr>
        <w:spacing w:after="60"/>
      </w:pPr>
      <w:r>
        <w:t xml:space="preserve">Preserve the source materials supporting material conclusions.</w:t>
      </w:r>
    </w:p>
    <w:p>
      <w:pPr>
        <w:numPr>
          <w:ilvl w:val="0"/>
          <w:numId w:val="3"/>
        </w:numPr>
        <w:spacing w:after="60"/>
      </w:pPr>
      <w:r>
        <w:t xml:space="preserve">Link conclusions to verifiable source evidence rather than AI-generated assertions alone.</w:t>
      </w:r>
    </w:p>
    <w:p>
      <w:pPr>
        <w:numPr>
          <w:ilvl w:val="0"/>
          <w:numId w:val="3"/>
        </w:numPr>
        <w:spacing w:after="60"/>
      </w:pPr>
      <w:r>
        <w:t xml:space="preserve">Document who reviewed the record, when and what substantive changes were made.</w:t>
      </w:r>
    </w:p>
    <w:p>
      <w:pPr>
        <w:numPr>
          <w:ilvl w:val="0"/>
          <w:numId w:val="3"/>
        </w:numPr>
        <w:spacing w:after="60"/>
      </w:pPr>
      <w:r>
        <w:t xml:space="preserve">Define what drafting-layer material is preserved for consequential records and under which legal-hold triggers.</w:t>
      </w:r>
    </w:p>
    <w:p>
      <w:pPr>
        <w:numPr>
          <w:ilvl w:val="0"/>
          <w:numId w:val="3"/>
        </w:numPr>
        <w:spacing w:after="60"/>
      </w:pPr>
      <w:r>
        <w:t xml:space="preserve">Review records across employees for recurring subjective language or inconsistent standards.</w:t>
      </w:r>
    </w:p>
    <w:p>
      <w:pPr>
        <w:numPr>
          <w:ilvl w:val="0"/>
          <w:numId w:val="3"/>
        </w:numPr>
        <w:spacing w:after="60"/>
      </w:pPr>
      <w:r>
        <w:t xml:space="preserve">Confirm that the final explanation is consistent with documented history that existed before the decision.</w:t>
      </w:r>
    </w:p>
    <w:p>
      <w:pPr>
        <w:spacing w:after="140"/>
      </w:pPr>
      <w:r>
        <w:t xml:space="preserve">The organizing principle is preservation rather than retention: enough evidence to reconstruct and defend the record when its author is no longer available to explain it.</w:t>
      </w:r>
    </w:p>
    <w:p>
      <w:pPr>
        <w:pStyle w:val="Heading2"/>
        <w:spacing w:after="140"/>
      </w:pPr>
      <w:r>
        <w:t xml:space="preserve">A note for organizations operating in Europe</w:t>
      </w:r>
    </w:p>
    <w:p>
      <w:pPr>
        <w:spacing w:after="140"/>
      </w:pPr>
      <w:r>
        <w:t xml:space="preserve">The same failure has a data-protection dimension outside the United States. Under the GDPR, the accountability principle in Article 5(2) requires controllers not only to comply with the data-protection principles but to be able to demonstrate that compliance when scrutinized. A record that cannot show how a consequential characterization was reached is weaker on that measure.</w:t>
      </w:r>
    </w:p>
    <w:p>
      <w:pPr>
        <w:spacing w:after="140"/>
      </w:pPr>
      <w:r>
        <w:t xml:space="preserve">The EU AI Act now generally applies, but its core high-risk requirements on risk management, technical documentation, logging and human oversight have been postponed by Regulation (EU) 2026/1744 to 2 December 2027 for Annex III systems and 2 August 2028 for Annex I systems linked to regulated products. Many employment-drafting workflows fall outside the high-risk regime entirely. Organizations are deploying these tools today while the strongest statutory traceability controls are either pending or inapplicable. The practical question is unchanged: has enough evidence been preserved to reconstruct what the AI contributed, what a human verified and why the final record was accepted?</w:t>
      </w:r>
    </w:p>
    <w:p>
      <w:pPr>
        <w:pStyle w:val="Heading2"/>
        <w:spacing w:after="140"/>
      </w:pPr>
      <w:r>
        <w:t xml:space="preserve">JRS as an operational example</w:t>
      </w:r>
    </w:p>
    <w:p>
      <w:pPr>
        <w:spacing w:after="140"/>
      </w:pPr>
      <w:r>
        <w:t xml:space="preserve">One way to operationalize this is a structured review applied before a consequential record is finalized. The Justification Review Standard, developed by one of the authors, runs inside existing HR, compliance, investigations, audit and legal workflows and asks whether an AI-assisted record can withstand independent review before it is finalized. It is undergoing structured validation using blinded reviewers, a predefined reference corpus and prespecified evaluation criteria, and results will be reported separately.</w:t>
      </w:r>
    </w:p>
    <w:p>
      <w:pPr>
        <w:spacing w:after="140"/>
      </w:pPr>
      <w:r>
        <w:t xml:space="preserve">The instrument matters less than the discipline: any review that forces those questions before a record is finalized addresses the same failure.</w:t>
      </w:r>
    </w:p>
    <w:p>
      <w:pPr>
        <w:pStyle w:val="Heading2"/>
        <w:spacing w:after="140"/>
      </w:pPr>
      <w:r>
        <w:t xml:space="preserve">The employment record is part of the decision</w:t>
      </w:r>
    </w:p>
    <w:p>
      <w:pPr>
        <w:spacing w:after="140"/>
      </w:pPr>
      <w:r>
        <w:t xml:space="preserve">For compliance and HR leaders, the practical question is not whether AI should write employment records. It is whether the organization has a control at the point where AI-assisted language becomes part of the permanent record.</w:t>
      </w:r>
    </w:p>
    <w:p>
      <w:pPr>
        <w:spacing w:after="140"/>
      </w:pPr>
      <w:r>
        <w:t xml:space="preserve">A defensible record lets someone who was not present follow the reasoning and test whether the stated explanation matches the documented history.</w:t>
      </w:r>
    </w:p>
    <w:p>
      <w:pPr>
        <w:spacing w:after="140"/>
      </w:pPr>
      <w:r>
        <w:t xml:space="preserve">When employment records are reviewed side by side, the issue may no longer be an individual employee's wording. It may be whether the organization's records reveal standards that were subjective, inconsistently applied or difficult to defend.</w:t>
      </w:r>
    </w:p>
    <w:p>
      <w:pPr>
        <w:spacing w:after="140"/>
      </w:pPr>
      <w:r>
        <w:t xml:space="preserve">We use the shorthand "right to know why" for that governance principle. It is not a legal doctrine and not a claim of any new entitlement. The tool doing the drafting has changed. The standard the record has to meet has not.</w:t>
      </w:r>
    </w:p>
    <w:p>
      <w:pPr>
        <w:pStyle w:val="Heading2"/>
        <w:spacing w:after="140"/>
      </w:pPr>
      <w:r>
        <w:t xml:space="preserve">About the authors</w:t>
      </w:r>
    </w:p>
    <w:p>
      <w:pPr>
        <w:spacing w:after="140"/>
      </w:pPr>
      <w:r>
        <w:rPr>
          <w:b/>
        </w:rPr>
        <w:t xml:space="preserve">Hekim Colpan</w:t>
      </w:r>
      <w:r>
        <w:t xml:space="preserve"> is an AI Governance and Compliance Manager, Data Protection Manager and ISO/IEC 42001 auditor based in Germany. His work focuses on the operational implementation of AI management systems, the EU AI Act, GDPR accountability, DORA and governance controls for AI-assisted systems.</w:t>
      </w:r>
    </w:p>
    <w:p>
      <w:pPr>
        <w:spacing w:after="140"/>
      </w:pPr>
      <w:r>
        <w:rPr>
          <w:b/>
        </w:rPr>
        <w:t xml:space="preserve">Phillip Wikes</w:t>
      </w:r>
      <w:r>
        <w:t xml:space="preserve"> is an AI Governance and Cognitive Risk Advisor focused on documentation integrity, evidentiary traceability and record-level controls in AI-assisted environments. He served as a Lead Civil Rights Officer at the Maryland Commission on Civil Rights and developed the Justification Review Standard and Decision Reconstruction Risk. He holds an M.S. in Negotiation and Conflict Management.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 w:numId="3">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