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666666"/>
          <w:spacing w:val="40"/>
          <w:sz w:val="15"/>
          <w:szCs w:val="15"/>
        </w:rPr>
        <w:t xml:space="preserve">LEGAL / GOVERNANCE AUDIENCE    |    LITIGATION RISK    |    AI-ASSISTED DOCUMENTATION</w:t>
      </w:r>
    </w:p>
    <w:p>
      <w:pPr>
        <w:spacing w:after="60"/>
      </w:pPr>
      <w:r>
        <w:rPr>
          <w:rFonts w:ascii="Georgia" w:cs="Georgia" w:eastAsia="Georgia" w:hAnsi="Georgia"/>
          <w:b/>
          <w:bCs/>
          <w:color w:val="141414"/>
          <w:sz w:val="34"/>
          <w:szCs w:val="34"/>
        </w:rPr>
        <w:t xml:space="preserve">The Evidentiary Deficit in AI-Assisted Record-Keeping</w:t>
      </w:r>
    </w:p>
    <w:p>
      <w:pPr>
        <w:spacing w:after="100"/>
      </w:pPr>
      <w:r>
        <w:rPr>
          <w:rFonts w:ascii="Georgia" w:cs="Georgia" w:eastAsia="Georgia" w:hAnsi="Georgia"/>
          <w:i/>
          <w:iCs/>
          <w:color w:val="555555"/>
          <w:sz w:val="22"/>
          <w:szCs w:val="22"/>
        </w:rPr>
        <w:t xml:space="preserve">How the gap between polished AI narrative and verifiable evidence creates litigation exposure, and how practitioners can ensure defensible records.</w:t>
      </w:r>
    </w:p>
    <w:p>
      <w:pPr>
        <w:spacing w:after="30"/>
      </w:pPr>
      <w:r>
        <w:rPr>
          <w:rFonts w:ascii="Georgia" w:cs="Georgia" w:eastAsia="Georgia" w:hAnsi="Georgia"/>
          <w:b/>
          <w:bCs/>
          <w:color w:val="141414"/>
          <w:sz w:val="26"/>
          <w:szCs w:val="26"/>
        </w:rPr>
        <w:t xml:space="preserve">By Gabriela Bar and Phillip Wikes</w:t>
      </w:r>
    </w:p>
    <w:p>
      <w:pPr>
        <w:pBdr>
          <w:bottom w:val="single" w:color="7A5E28" w:sz="6" w:space="8"/>
        </w:pBdr>
        <w:spacing w:after="130"/>
      </w:pPr>
      <w:r>
        <w:rPr>
          <w:rFonts w:ascii="Georgia" w:cs="Georgia" w:eastAsia="Georgia" w:hAnsi="Georgia"/>
          <w:i/>
          <w:iCs/>
          <w:color w:val="555555"/>
          <w:sz w:val="18"/>
          <w:szCs w:val="18"/>
        </w:rPr>
        <w:t xml:space="preserve">Gabriela Bar, PhD, Attorney at Law, founder of Gabriela Bar Law and AI (Wroclaw), advising on trustworthy AI and data-protection law.  Phillip Wikes, AI Governance and Cognitive Risk Advisor, former Lead Civil Rights Officer, Maryland Commission on Civil Rights.</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One of us spent more than a decade reading discrimination files for a state civil rights agency. The cases that caused the most worry were rarely the ones with an obvious flaw. They were the ones where the file read cleanly, the conclusion sat neatly at the end, and nothing beneath it explained how anyone had arrived there. A record can look finished and still be hollow.</w:t>
      </w:r>
    </w:p>
    <w:p>
      <w:pPr>
        <w:spacing w:after="130"/>
        <w:jc w:val="both"/>
      </w:pPr>
      <w:r>
        <w:rPr>
          <w:rFonts w:ascii="Georgia" w:cs="Georgia" w:eastAsia="Georgia" w:hAnsi="Georgia"/>
          <w:color w:val="1a1a1a"/>
          <w:sz w:val="21"/>
          <w:szCs w:val="21"/>
        </w:rPr>
        <w:t xml:space="preserve">In employment disputes, the written record carries primary evidentiary weight. When it falls short, every other element of the case becomes harder to defend.</w:t>
      </w:r>
    </w:p>
    <w:p>
      <w:pPr>
        <w:spacing w:after="130"/>
        <w:jc w:val="both"/>
      </w:pPr>
      <w:r>
        <w:rPr>
          <w:rFonts w:ascii="Georgia" w:cs="Georgia" w:eastAsia="Georgia" w:hAnsi="Georgia"/>
          <w:color w:val="1a1a1a"/>
          <w:sz w:val="21"/>
          <w:szCs w:val="21"/>
        </w:rPr>
        <w:t xml:space="preserve">An AI-assisted draft reads like a finished record. The sentences are confident, the structure is coherent, and the conclusions sound reasoned. The relevant discovery question is whether the document is tied back to the facts it asserts. That gap, between fluent narrative and verifiable evidence, is the central concern of this article.</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explain, on its own terms, why a decision was made. The evidentiary deficit is DRR seen from the litigation side: when the reasoning behind a record cannot be reconstructed, the decision cannot be defended.</w:t>
      </w:r>
    </w:p>
    <w:p>
      <w:pPr>
        <w:spacing w:after="130"/>
        <w:jc w:val="both"/>
      </w:pPr>
      <w:r>
        <w:rPr>
          <w:rFonts w:ascii="Georgia" w:cs="Georgia" w:eastAsia="Georgia" w:hAnsi="Georgia"/>
          <w:color w:val="1a1a1a"/>
          <w:sz w:val="21"/>
          <w:szCs w:val="21"/>
        </w:rPr>
        <w:t xml:space="preserve">Courts and regulators have always relied on contemporaneous documentation to test whether a decision was lawful, consistent, and free of bias. As organizations move more of their drafting into AI-assisted tools, the evidentiary integrity of the resulting records becomes a genuine legal issue, not a theoretical one.</w:t>
      </w:r>
    </w:p>
    <w:p>
      <w:pPr>
        <w:spacing w:after="130"/>
        <w:jc w:val="both"/>
      </w:pPr>
      <w:r>
        <w:rPr>
          <w:rFonts w:ascii="Georgia" w:cs="Georgia" w:eastAsia="Georgia" w:hAnsi="Georgia"/>
          <w:color w:val="1a1a1a"/>
          <w:sz w:val="21"/>
          <w:szCs w:val="21"/>
        </w:rPr>
        <w:t xml:space="preserve">AI-assisted documentation is treated as presumptively discoverable. Drafting workflows should be built on that assumption from the start.</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record must do more than state a conclusion. It has to show the factual basis behind that conclusion. When the documentation cannot substantiate the reasoning it claims to reflect, the organization loses the very evidence it needs to defend the decision.</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Picture a manager who prompts the model to draft a termination justification, then prompts the same model to supply the supporting facts. The resulting file is internally consistent, and it cannot be tied to independent evidence. In discovery, unsupported assertions are treated as post hoc rationalization, particularly where the drafting record shows AI-generated narrative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Transatlantic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once.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further below by co-author Gabriela Bar.</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Can the record be understood independently of its author? Are its conclusions supported by verifiable, non-AI-generated evidence? Can a neutral reviewer reconstruct the reasoning without additional explanation?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The drafting tool has changed. The evidentiary test has not. Risk arises where evidentiary traceability is absent, which is to say where Decision Reconstruction Risk is present. Records are evaluated on whether the evidentiary architecture behind them is visible, reproducible, and capable of withstanding scrutiny in both discovery and regulatory review.</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providers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 Learn more: https://jrsstandard.com</w:t>
      </w:r>
    </w:p>
    <w:p>
      <w:pPr>
        <w:pStyle w:val="Heading2"/>
        <w:spacing w:after="90" w:before="220"/>
      </w:pPr>
      <w:r>
        <w:rPr>
          <w:rFonts w:ascii="Georgia" w:cs="Georgia" w:eastAsia="Georgia" w:hAnsi="Georgia"/>
          <w:b/>
          <w:bCs/>
          <w:color w:val="141414"/>
          <w:sz w:val="24"/>
          <w:szCs w:val="24"/>
        </w:rPr>
        <w:t xml:space="preserve">Acknowledgment</w:t>
      </w:r>
    </w:p>
    <w:p>
      <w:pPr>
        <w:spacing w:after="130"/>
        <w:jc w:val="both"/>
      </w:pPr>
      <w:r>
        <w:rPr>
          <w:rFonts w:ascii="Georgia" w:cs="Georgia" w:eastAsia="Georgia" w:hAnsi="Georgia"/>
          <w:color w:val="1a1a1a"/>
          <w:sz w:val="21"/>
          <w:szCs w:val="21"/>
        </w:rPr>
        <w:t xml:space="preserve">The reliability and reproducibility methodology behind the validation figures cited above was designed by Ubayet Hossain, FRM, Associate Director (Model Validation), KPMG India.</w:t>
      </w:r>
    </w:p>
    <w:p>
      <w:pPr>
        <w:pStyle w:val="Heading2"/>
        <w:spacing w:after="90" w:before="220"/>
      </w:pPr>
      <w:r>
        <w:rPr>
          <w:rFonts w:ascii="Georgia" w:cs="Georgia" w:eastAsia="Georgia" w:hAnsi="Georgia"/>
          <w:b/>
          <w:bCs/>
          <w:color w:val="141414"/>
          <w:sz w:val="24"/>
          <w:szCs w:val="24"/>
        </w:rPr>
        <w:t xml:space="preserve">About the Authors</w:t>
      </w:r>
    </w:p>
    <w:p>
      <w:pPr>
        <w:spacing w:after="130"/>
        <w:jc w:val="both"/>
      </w:pPr>
      <w:r>
        <w:rPr>
          <w:rFonts w:ascii="Georgia" w:cs="Georgia" w:eastAsia="Georgia" w:hAnsi="Georgia"/>
          <w:b/>
          <w:bCs/>
          <w:color w:val="1a1a1a"/>
          <w:sz w:val="21"/>
          <w:szCs w:val="21"/>
        </w:rPr>
        <w:t xml:space="preserve">Gabriela Bar, PhD,</w:t>
      </w:r>
      <w:r>
        <w:rPr>
          <w:rFonts w:ascii="Georgia" w:cs="Georgia" w:eastAsia="Georgia" w:hAnsi="Georgia"/>
          <w:color w:val="1a1a1a"/>
          <w:sz w:val="21"/>
          <w:szCs w:val="21"/>
        </w:rPr>
        <w:t xml:space="preserve"> is an attorney at law and founder of Gabriela Bar Law and AI in Wroclaw, Poland. She advises organizations on the legal and ethical dimensions of trustworthy AI and data protection, serves as an independent ethics advisor on EU research projects, and is recognized in the Lexology Index: Artificial Intelligence 2026. She has been named among Forbes Top 25 Business Lawyers and TOP100 Women in AI, is a member of the Federation des Barreaux d'Europe, and speaks regularly at academic and industry conferences.</w:t>
      </w:r>
    </w:p>
    <w:p>
      <w:pPr>
        <w:spacing w:after="130"/>
        <w:jc w:val="both"/>
      </w:pPr>
      <w:r>
        <w:rPr>
          <w:rFonts w:ascii="Georgia" w:cs="Georgia" w:eastAsia="Georgia" w:hAnsi="Georgia"/>
          <w:b/>
          <w:bCs/>
          <w:color w:val="1a1a1a"/>
          <w:sz w:val="21"/>
          <w:szCs w:val="21"/>
        </w:rPr>
        <w:t xml:space="preserve">Phillip Wikes</w:t>
      </w:r>
      <w:r>
        <w:rPr>
          <w:rFonts w:ascii="Georgia" w:cs="Georgia" w:eastAsia="Georgia" w:hAnsi="Georgia"/>
          <w:color w:val="1a1a1a"/>
          <w:sz w:val="21"/>
          <w:szCs w:val="21"/>
        </w:rPr>
        <w:t xml:space="preserve"> is an AI Governance and Cognitive Risk Advisor focused on documentation integrity, evidentiary traceability, and record-level controls in AI-assisted environments. From 2012 to 2025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2026-07-24T22:18:53.617Z</dcterms:created>
  <dcterms:modified xsi:type="dcterms:W3CDTF">2026-07-24T22:18:53.638Z</dcterms:modified>
</cp:coreProperties>
</file>

<file path=docProps/custom.xml><?xml version="1.0" encoding="utf-8"?>
<Properties xmlns="http://schemas.openxmlformats.org/officeDocument/2006/custom-properties" xmlns:vt="http://schemas.openxmlformats.org/officeDocument/2006/docPropsVTypes"/>
</file>