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Preliminary construct evidence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which is why it is reported as construct evidence rather than as a confirmatory test, and the contemporaneous notes are what make it checkable by anyone re-reading the case set.</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showed patterns consistent with the construct it was designed to examine.</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pPr>
        <w:spacing w:after="140"/>
      </w:pPr>
      <w:r>
        <w:t xml:space="preserve">For public-records programs,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finalized: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and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14:paraId="5AE0E97F" w14:textId="77777777" w:rsidR="0019445B" w:rsidRDefault="00000000">
      <w:pPr>
        <w:spacing w:after="140"/>
      </w:pPr>
      <w:r>
        <w:t>The corpus is two states, New York and Connecticut. Generalization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organizations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organization acted?</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