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an initial question a measurement programme must address: given an operational definition of DRR, can independent domain experts distinguish records that satisfy it from records that do not? If they cannot, a governance control resting on human review of that property would lack an adequate empirical basis.</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independent verification and independently reproduced by automated raters without access to it. Reviewers worked independently, blind to that classification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detection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invited experts whose credentials are recorded. The remainder are regular reviewers who entered through the open review page and declared a professional domain without identity verification. The two groups are reported separately because they were recruited by different routes; the split records the recruitment channel and is not a measure of professional expertise.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regular-reviewer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experts and fourteen regular reviewers. Three regular reviewers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Regular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regular-reviewer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are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subject to the study's access and confidentiality terms; and the analysis scripts that produce every figure in this paper.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p>
    <w:p>
      <w:pPr>
        <w:spacing w:after="140"/>
      </w:pPr>
      <w:r>
        <w:t xml:space="preserve">correct ~ 1 + (1 | reviewer) + (1 | record)</w:t>
      </w:r>
    </w:p>
    <w:p>
      <w:pPr>
        <w:spacing w:after="140"/>
      </w:pP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experts and seventeen regular reviewers, recorded labels on the shared record set. Twenty-two of them, eight experts and fourteen regular reviewers, worked under the five-condition instrument and are the analysed sample behind the coefficients in Section 6.5; the other three regular reviewers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