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CCI Revision: Change Log, Risk Audit and Head-Editor Verdict</w:t>
      </w:r>
    </w:p>
    <w:p>
      <w:pPr>
        <w:spacing w:after="140"/>
      </w:pPr>
      <w:r>
        <w:rPr>
          <w:b/>
        </w:rPr>
        <w:t xml:space="preserve">Article:</w:t>
      </w:r>
      <w:r>
        <w:t xml:space="preserve"> The Evidentiary Deficit in AI-Assisted Record-Keeping</w:t>
      </w:r>
    </w:p>
    <w:p>
      <w:pPr>
        <w:spacing w:after="140"/>
      </w:pPr>
      <w:r>
        <w:rPr>
          <w:b/>
        </w:rPr>
        <w:t xml:space="preserve">Authors:</w:t>
      </w:r>
      <w:r>
        <w:t xml:space="preserve"> Hekim Colpan and Phillip Wikes</w:t>
      </w:r>
    </w:p>
    <w:p>
      <w:pPr>
        <w:spacing w:after="140"/>
      </w:pPr>
      <w:r>
        <w:rPr>
          <w:b/>
        </w:rPr>
        <w:t xml:space="preserve">Source:</w:t>
      </w:r>
      <w:r>
        <w:t xml:space="preserve"> </w:t>
      </w:r>
      <w:r>
        <w:rPr>
          <w:rFonts w:ascii="Consolas" w:hAnsi="Consolas"/>
        </w:rPr>
        <w:t xml:space="preserve">research/Evidentiary_Deficit_Article_Hekim_Version_rev2026-08-18.md</w:t>
      </w:r>
      <w:r>
        <w:t xml:space="preserve"> (preserved, sha256 </w:t>
      </w:r>
      <w:r>
        <w:rPr>
          <w:rFonts w:ascii="Consolas" w:hAnsi="Consolas"/>
        </w:rPr>
        <w:t xml:space="preserve">c391d6c5</w:t>
      </w:r>
      <w:r>
        <w:t xml:space="preserve">)</w:t>
      </w:r>
    </w:p>
    <w:p>
      <w:pPr>
        <w:spacing w:after="140"/>
      </w:pPr>
      <w:r>
        <w:rPr>
          <w:b/>
        </w:rPr>
        <w:t xml:space="preserve">Output:</w:t>
      </w:r>
      <w:r>
        <w:t xml:space="preserve"> </w:t>
      </w:r>
      <w:r>
        <w:rPr>
          <w:rFonts w:ascii="Consolas" w:hAnsi="Consolas"/>
        </w:rPr>
        <w:t xml:space="preserve">research/Evidentiary_Deficit_Article_CCI_2026-08-18.md</w:t>
      </w:r>
      <w:r>
        <w:t xml:space="preserve"> / </w:t>
      </w:r>
      <w:r>
        <w:rPr>
          <w:rFonts w:ascii="Consolas" w:hAnsi="Consolas"/>
        </w:rPr>
        <w:t xml:space="preserve">.docx</w:t>
      </w:r>
    </w:p>
    <w:p>
      <w:pPr>
        <w:spacing w:after="140"/>
      </w:pPr>
      <w:r>
        <w:rPr>
          <w:b/>
        </w:rPr>
        <w:t xml:space="preserve">Date:</w:t>
      </w:r>
      <w:r>
        <w:t xml:space="preserve"> 2026-08-18</w:t>
      </w:r>
    </w:p>
    <w:p>
      <w:pPr>
        <w:spacing w:after="140"/>
      </w:pPr>
      <w:r>
        <w:rPr>
          <w:b/>
        </w:rPr>
        <w:t xml:space="preserve">Body prose:</w:t>
      </w:r>
      <w:r>
        <w:t xml:space="preserve"> 1,757 words against a 1,450 to 1,650 target. </w:t>
      </w:r>
      <w:r>
        <w:rPr>
          <w:b/>
        </w:rPr>
        <w:t xml:space="preserve">Overrun retained deliberately</w:t>
      </w:r>
      <w:r>
        <w:t xml:space="preserve">; see Length below.</w:t>
      </w:r>
    </w:p>
    <w:p>
      <w:pPr>
        <w:spacing w:after="140"/>
      </w:pPr>
      <w:r>
        <w:rPr>
          <w:b/>
        </w:rPr>
        <w:t xml:space="preserve">Em-dashes:</w:t>
      </w:r>
      <w:r>
        <w:t xml:space="preserve"> 0 · </w:t>
      </w:r>
      <w:r>
        <w:rPr>
          <w:b/>
        </w:rPr>
        <w:t xml:space="preserve">Embedded hyperlinks:</w:t>
      </w:r>
      <w:r>
        <w:t xml:space="preserve"> 8 · </w:t>
      </w:r>
      <w:r>
        <w:rPr>
          <w:b/>
        </w:rPr>
        <w:t xml:space="preserve">Formal bibliography:</w:t>
      </w:r>
      <w:r>
        <w:t xml:space="preserve"> none, per CCI format</w:t>
      </w:r>
    </w:p>
    <w:p>
      <w:pPr>
        <w:pBdr>
          <w:bottom w:val="single" w:sz="6" w:space="1" w:color="AAAAAA"/>
        </w:pBdr>
      </w:pPr>
    </w:p>
    <w:p>
      <w:pPr>
        <w:pStyle w:val="Heading2"/>
        <w:spacing w:after="140"/>
      </w:pPr>
      <w:r>
        <w:t xml:space="preserve">PART 2: CHANGE LOG</w:t>
      </w:r>
    </w:p>
    <w:p>
      <w:pPr>
        <w:pStyle w:val="Heading3"/>
        <w:spacing w:after="140"/>
      </w:pPr>
      <w:r>
        <w:t xml:space="preserve">Legal precision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Original issue</w:t>
            </w:r>
          </w:p>
        </w:tc>
        <w:tc>
          <w:tcPr>
            <w:tcW w:w="2340" w:type="dxa"/>
          </w:tcPr>
          <w:p>
            <w:pPr>
              <w:spacing w:after="0"/>
            </w:pPr>
            <w:r>
              <w:t xml:space="preserve">Surgical correction</w:t>
            </w:r>
          </w:p>
        </w:tc>
        <w:tc>
          <w:tcPr>
            <w:tcW w:w="2340" w:type="dxa"/>
          </w:tcPr>
          <w:p>
            <w:pPr>
              <w:spacing w:after="0"/>
            </w:pPr>
            <w:r>
              <w:t xml:space="preserve">Reason</w:t>
            </w:r>
          </w:p>
        </w:tc>
        <w:tc>
          <w:tcPr>
            <w:tcW w:w="2340" w:type="dxa"/>
          </w:tcPr>
          <w:p>
            <w:pPr>
              <w:spacing w:after="0"/>
            </w:pPr>
            <w:r>
              <w:t xml:space="preserve">Editorial risk reduced</w:t>
            </w:r>
          </w:p>
        </w:tc>
      </w:tr>
      <w:tr>
        <w:tc>
          <w:tcPr>
            <w:tcW w:w="2340" w:type="dxa"/>
          </w:tcPr>
          <w:p>
            <w:pPr>
              <w:spacing w:after="0"/>
            </w:pPr>
            <w:r>
              <w:t xml:space="preserve">"Under its burden-shifting analysis, whether a stated reason reads as legitimate or as pretext often comes down to how well the rationale was documented at the time."</w:t>
            </w:r>
          </w:p>
        </w:tc>
        <w:tc>
          <w:tcPr>
            <w:tcW w:w="2340" w:type="dxa"/>
          </w:tcPr>
          <w:p>
            <w:pPr>
              <w:spacing w:after="0"/>
            </w:pPr>
            <w:r>
              <w:t xml:space="preserve">Now states the framework accurately, adds "The Court did not hold that documentation quality determines the outcome," and separates the holding from the practical observation that the pretext inquiry often turns on corroboration and consistency</w:t>
            </w:r>
          </w:p>
        </w:tc>
        <w:tc>
          <w:tcPr>
            <w:tcW w:w="2340" w:type="dxa"/>
          </w:tcPr>
          <w:p>
            <w:pPr>
              <w:spacing w:after="0"/>
            </w:pPr>
            <w:r>
              <w:t xml:space="preserve">The original attributed to </w:t>
            </w:r>
            <w:r>
              <w:rPr>
                <w:i/>
              </w:rPr>
              <w:t xml:space="preserve">McDonnell Douglas</w:t>
            </w:r>
            <w:r>
              <w:t xml:space="preserve"> a documentation rule the Court did not announce</w:t>
            </w:r>
          </w:p>
        </w:tc>
        <w:tc>
          <w:tcPr>
            <w:tcW w:w="2340" w:type="dxa"/>
          </w:tcPr>
          <w:p>
            <w:pPr>
              <w:spacing w:after="0"/>
            </w:pPr>
            <w:r>
              <w:t xml:space="preserve">A compliance attorney or law-trained editor checking the citation finds the characterisation defensible</w:t>
            </w:r>
          </w:p>
        </w:tc>
      </w:tr>
      <w:tr>
        <w:tc>
          <w:tcPr>
            <w:tcW w:w="2340" w:type="dxa"/>
          </w:tcPr>
          <w:p>
            <w:pPr>
              <w:spacing w:after="0"/>
            </w:pPr>
            <w:r>
              <w:t xml:space="preserve">"Administrative law works similarly through its reasoned-decision standard, where the quality of the record often decides whether the underlying decision survives review."</w:t>
            </w:r>
          </w:p>
        </w:tc>
        <w:tc>
          <w:tcPr>
            <w:tcW w:w="2340" w:type="dxa"/>
          </w:tcPr>
          <w:p>
            <w:pPr>
              <w:spacing w:after="0"/>
            </w:pPr>
            <w:r>
              <w:t xml:space="preserve">Narrowed to judicial review of </w:t>
            </w:r>
            <w:r>
              <w:rPr>
                <w:b/>
              </w:rPr>
              <w:t xml:space="preserve">federal agency action</w:t>
            </w:r>
            <w:r>
              <w:t xml:space="preserve">, where a court evaluates the reasons the agency itself articulated on the administrative record, with a link to 5 U.S.C. § 706</w:t>
            </w:r>
          </w:p>
        </w:tc>
        <w:tc>
          <w:tcPr>
            <w:tcW w:w="2340" w:type="dxa"/>
          </w:tcPr>
          <w:p>
            <w:pPr>
              <w:spacing w:after="0"/>
            </w:pPr>
            <w:r>
              <w:t xml:space="preserve">"Administrative law" as a whole is far broader than the proposition supported</w:t>
            </w:r>
          </w:p>
        </w:tc>
        <w:tc>
          <w:tcPr>
            <w:tcW w:w="2340" w:type="dxa"/>
          </w:tcPr>
          <w:p>
            <w:pPr>
              <w:spacing w:after="0"/>
            </w:pPr>
            <w:r>
              <w:t xml:space="preserve">Removes an unsupported sweeping claim about an entire field</w:t>
            </w:r>
          </w:p>
        </w:tc>
      </w:tr>
      <w:tr>
        <w:tc>
          <w:tcPr>
            <w:tcW w:w="2340" w:type="dxa"/>
          </w:tcPr>
          <w:p>
            <w:pPr>
              <w:spacing w:after="0"/>
            </w:pPr>
            <w:r>
              <w:t xml:space="preserve">"Courts have long accepted that patterns across records can support a finding of systemic discrimination, under both disparate treatment and disparate impact."</w:t>
            </w:r>
          </w:p>
        </w:tc>
        <w:tc>
          <w:tcPr>
            <w:tcW w:w="2340" w:type="dxa"/>
          </w:tcPr>
          <w:p>
            <w:pPr>
              <w:spacing w:after="0"/>
            </w:pPr>
            <w:r>
              <w:t xml:space="preserve">Recurring language "may become relevant evidence in an internal audit, a regulatory investigation, or litigation," </w:t>
            </w:r>
            <w:r>
              <w:rPr>
                <w:b/>
              </w:rPr>
              <w:t xml:space="preserve">depending on the facts and the legal theory pleaded</w:t>
            </w:r>
            <w:r>
              <w:t xml:space="preserve">, with an explicit statement that the two theories are distinct and that recurring language does not by itself establish either</w:t>
            </w:r>
          </w:p>
        </w:tc>
        <w:tc>
          <w:tcPr>
            <w:tcW w:w="2340" w:type="dxa"/>
          </w:tcPr>
          <w:p>
            <w:pPr>
              <w:spacing w:after="0"/>
            </w:pPr>
            <w:r>
              <w:t xml:space="preserve">The original treated two theories with different elements and proof structures as interchangeable, and overstated what a pattern establishes</w:t>
            </w:r>
          </w:p>
        </w:tc>
        <w:tc>
          <w:tcPr>
            <w:tcW w:w="2340" w:type="dxa"/>
          </w:tcPr>
          <w:p>
            <w:pPr>
              <w:spacing w:after="0"/>
            </w:pPr>
            <w:r>
              <w:t xml:space="preserve">Closes the single most likely point of attack from a plaintiff-side or defence-side reader</w:t>
            </w:r>
          </w:p>
        </w:tc>
      </w:tr>
      <w:tr>
        <w:tc>
          <w:tcPr>
            <w:tcW w:w="2340" w:type="dxa"/>
          </w:tcPr>
          <w:p>
            <w:pPr>
              <w:spacing w:after="0"/>
            </w:pPr>
            <w:r>
              <w:t xml:space="preserve">"ESI obligations now routinely pull in exactly this kind of material."</w:t>
            </w:r>
          </w:p>
        </w:tc>
        <w:tc>
          <w:tcPr>
            <w:tcW w:w="2340" w:type="dxa"/>
          </w:tcPr>
          <w:p>
            <w:pPr>
              <w:spacing w:after="0"/>
            </w:pPr>
            <w:r>
              <w:t xml:space="preserve">"Depending on the dispute, preservation obligations and discovery requests </w:t>
            </w:r>
            <w:r>
              <w:rPr>
                <w:b/>
              </w:rPr>
              <w:t xml:space="preserve">may</w:t>
            </w:r>
            <w:r>
              <w:t xml:space="preserve"> extend to..." plus an explicit sentence that potential discoverability is not an obligation to retain everything</w:t>
            </w:r>
          </w:p>
        </w:tc>
        <w:tc>
          <w:tcPr>
            <w:tcW w:w="2340" w:type="dxa"/>
          </w:tcPr>
          <w:p>
            <w:pPr>
              <w:spacing w:after="0"/>
            </w:pPr>
            <w:r>
              <w:t xml:space="preserve">"Routinely" asserted an empirical claim about discovery practice with no support</w:t>
            </w:r>
          </w:p>
        </w:tc>
        <w:tc>
          <w:tcPr>
            <w:tcW w:w="2340" w:type="dxa"/>
          </w:tcPr>
          <w:p>
            <w:pPr>
              <w:spacing w:after="0"/>
            </w:pPr>
            <w:r>
              <w:t xml:space="preserve">Removes an unsupportable generalisation and a policy error</w:t>
            </w:r>
          </w:p>
        </w:tc>
      </w:tr>
      <w:tr>
        <w:tc>
          <w:tcPr>
            <w:tcW w:w="2340" w:type="dxa"/>
          </w:tcPr>
          <w:p>
            <w:pPr>
              <w:spacing w:after="0"/>
            </w:pPr>
            <w:r>
              <w:t xml:space="preserve">"Right to Know Why" presented with initial capitals as a named concept</w:t>
            </w:r>
          </w:p>
        </w:tc>
        <w:tc>
          <w:tcPr>
            <w:tcW w:w="2340" w:type="dxa"/>
          </w:tcPr>
          <w:p>
            <w:pPr>
              <w:spacing w:after="0"/>
            </w:pPr>
            <w:r>
              <w:t xml:space="preserve">Lower-cased to a shorthand, with "It is not a legal doctrine and not a claim of any new entitlement"</w:t>
            </w:r>
          </w:p>
        </w:tc>
        <w:tc>
          <w:tcPr>
            <w:tcW w:w="2340" w:type="dxa"/>
          </w:tcPr>
          <w:p>
            <w:pPr>
              <w:spacing w:after="0"/>
            </w:pPr>
            <w:r>
              <w:t xml:space="preserve">Prevents any reading that the authors are asserting a new legal right</w:t>
            </w:r>
          </w:p>
        </w:tc>
        <w:tc>
          <w:tcPr>
            <w:tcW w:w="2340" w:type="dxa"/>
          </w:tcPr>
          <w:p>
            <w:pPr>
              <w:spacing w:after="0"/>
            </w:pPr>
            <w:r>
              <w:t xml:space="preserve">Removes the appearance of doctrine-creation</w:t>
            </w:r>
          </w:p>
        </w:tc>
      </w:tr>
    </w:tbl>
    <w:p>
      <w:pPr/>
      <w:r>
        <w:t/>
      </w:r>
    </w:p>
    <w:p>
      <w:pPr>
        <w:pStyle w:val="Heading3"/>
        <w:spacing w:after="140"/>
      </w:pPr>
      <w:r>
        <w:t xml:space="preserve">Regulatory precision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Original issue</w:t>
            </w:r>
          </w:p>
        </w:tc>
        <w:tc>
          <w:tcPr>
            <w:tcW w:w="2340" w:type="dxa"/>
          </w:tcPr>
          <w:p>
            <w:pPr>
              <w:spacing w:after="0"/>
            </w:pPr>
            <w:r>
              <w:t xml:space="preserve">Surgical correction</w:t>
            </w:r>
          </w:p>
        </w:tc>
        <w:tc>
          <w:tcPr>
            <w:tcW w:w="2340" w:type="dxa"/>
          </w:tcPr>
          <w:p>
            <w:pPr>
              <w:spacing w:after="0"/>
            </w:pPr>
            <w:r>
              <w:t xml:space="preserve">Reason</w:t>
            </w:r>
          </w:p>
        </w:tc>
        <w:tc>
          <w:tcPr>
            <w:tcW w:w="2340" w:type="dxa"/>
          </w:tcPr>
          <w:p>
            <w:pPr>
              <w:spacing w:after="0"/>
            </w:pPr>
            <w:r>
              <w:t xml:space="preserve">Editorial risk reduced</w:t>
            </w:r>
          </w:p>
        </w:tc>
      </w:tr>
      <w:tr>
        <w:tc>
          <w:tcPr>
            <w:tcW w:w="2340" w:type="dxa"/>
          </w:tcPr>
          <w:p>
            <w:pPr>
              <w:spacing w:after="0"/>
            </w:pPr>
            <w:r>
              <w:t xml:space="preserve">GDPR Article 30 framing</w:t>
            </w:r>
          </w:p>
        </w:tc>
        <w:tc>
          <w:tcPr>
            <w:tcW w:w="2340" w:type="dxa"/>
          </w:tcPr>
          <w:p>
            <w:pPr>
              <w:spacing w:after="0"/>
            </w:pPr>
            <w:r>
              <w:rPr>
                <w:b/>
              </w:rPr>
              <w:t xml:space="preserve">Preserved from the prior revision unchanged in substance.</w:t>
            </w:r>
            <w:r>
              <w:t xml:space="preserve"> Article 30 remains "part of that accountability framework, but a modest one," expressly not requiring every prompt or draft and not becoming a decision log because a model was involved upstream</w:t>
            </w:r>
          </w:p>
        </w:tc>
        <w:tc>
          <w:tcPr>
            <w:tcW w:w="2340" w:type="dxa"/>
          </w:tcPr>
          <w:p>
            <w:pPr>
              <w:spacing w:after="0"/>
            </w:pPr>
            <w:r>
              <w:t xml:space="preserve">The instruction protects this improvement</w:t>
            </w:r>
          </w:p>
        </w:tc>
        <w:tc>
          <w:tcPr>
            <w:tcW w:w="2340" w:type="dxa"/>
          </w:tcPr>
          <w:p>
            <w:pPr>
              <w:spacing w:after="0"/>
            </w:pPr>
            <w:r>
              <w:t xml:space="preserve">None introduced</w:t>
            </w:r>
          </w:p>
        </w:tc>
      </w:tr>
      <w:tr>
        <w:tc>
          <w:tcPr>
            <w:tcW w:w="2340" w:type="dxa"/>
          </w:tcPr>
          <w:p>
            <w:pPr>
              <w:spacing w:after="0"/>
            </w:pPr>
            <w:r>
              <w:t xml:space="preserve">AI Act obligations read as generally applicable to AI-assisted drafting</w:t>
            </w:r>
          </w:p>
        </w:tc>
        <w:tc>
          <w:tcPr>
            <w:tcW w:w="2340" w:type="dxa"/>
          </w:tcPr>
          <w:p>
            <w:pPr>
              <w:spacing w:after="0"/>
            </w:pPr>
            <w:r>
              <w:t xml:space="preserve">Added "Many such workflows will not fall within the high-risk regime at all," and reframed the question as "broader than formal classification"</w:t>
            </w:r>
          </w:p>
        </w:tc>
        <w:tc>
          <w:tcPr>
            <w:tcW w:w="2340" w:type="dxa"/>
          </w:tcPr>
          <w:p>
            <w:pPr>
              <w:spacing w:after="0"/>
            </w:pPr>
            <w:r>
              <w:t xml:space="preserve">The article's stronger point does not depend on high-risk classification</w:t>
            </w:r>
          </w:p>
        </w:tc>
        <w:tc>
          <w:tcPr>
            <w:tcW w:w="2340" w:type="dxa"/>
          </w:tcPr>
          <w:p>
            <w:pPr>
              <w:spacing w:after="0"/>
            </w:pPr>
            <w:r>
              <w:t xml:space="preserve">Prevents a regulatory specialist concluding the authors over-read the Act</w:t>
            </w:r>
          </w:p>
        </w:tc>
      </w:tr>
      <w:tr>
        <w:tc>
          <w:tcPr>
            <w:tcW w:w="2340" w:type="dxa"/>
          </w:tcPr>
          <w:p>
            <w:pPr>
              <w:spacing w:after="0"/>
            </w:pPr>
            <w:r>
              <w:t xml:space="preserve">ISO/IEC 42001 "offers an operational bridge"</w:t>
            </w:r>
          </w:p>
        </w:tc>
        <w:tc>
          <w:tcPr>
            <w:tcW w:w="2340" w:type="dxa"/>
          </w:tcPr>
          <w:p>
            <w:pPr>
              <w:spacing w:after="0"/>
            </w:pPr>
            <w:r>
              <w:t xml:space="preserve">"</w:t>
            </w:r>
            <w:r>
              <w:rPr>
                <w:b/>
              </w:rPr>
              <w:t xml:space="preserve">can support</w:t>
            </w:r>
            <w:r>
              <w:t xml:space="preserve"> structured governance," and DORA "where applicable," followed by "</w:t>
            </w:r>
            <w:r>
              <w:rPr>
                <w:b/>
              </w:rPr>
              <w:t xml:space="preserve">Neither establishes any particular record-level control</w:t>
            </w:r>
            <w:r>
              <w:t xml:space="preserve">"</w:t>
            </w:r>
          </w:p>
        </w:tc>
        <w:tc>
          <w:tcPr>
            <w:tcW w:w="2340" w:type="dxa"/>
          </w:tcPr>
          <w:p>
            <w:pPr>
              <w:spacing w:after="0"/>
            </w:pPr>
            <w:r>
              <w:t xml:space="preserve">Neither instrument mandates the controls the article recommends</w:t>
            </w:r>
          </w:p>
        </w:tc>
        <w:tc>
          <w:tcPr>
            <w:tcW w:w="2340" w:type="dxa"/>
          </w:tcPr>
          <w:p>
            <w:pPr>
              <w:spacing w:after="0"/>
            </w:pPr>
            <w:r>
              <w:t xml:space="preserve">Forecloses the reading that a standard endorses JRS</w:t>
            </w:r>
          </w:p>
        </w:tc>
      </w:tr>
    </w:tbl>
    <w:p>
      <w:pPr/>
      <w:r>
        <w:t/>
      </w:r>
    </w:p>
    <w:p>
      <w:pPr>
        <w:pStyle w:val="Heading3"/>
        <w:spacing w:after="140"/>
      </w:pPr>
      <w:r>
        <w:t xml:space="preserve">Evidence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Original issue</w:t>
            </w:r>
          </w:p>
        </w:tc>
        <w:tc>
          <w:tcPr>
            <w:tcW w:w="2340" w:type="dxa"/>
          </w:tcPr>
          <w:p>
            <w:pPr>
              <w:spacing w:after="0"/>
            </w:pPr>
            <w:r>
              <w:t xml:space="preserve">Surgical correction</w:t>
            </w:r>
          </w:p>
        </w:tc>
        <w:tc>
          <w:tcPr>
            <w:tcW w:w="2340" w:type="dxa"/>
          </w:tcPr>
          <w:p>
            <w:pPr>
              <w:spacing w:after="0"/>
            </w:pPr>
            <w:r>
              <w:t xml:space="preserve">Reason</w:t>
            </w:r>
          </w:p>
        </w:tc>
        <w:tc>
          <w:tcPr>
            <w:tcW w:w="2340" w:type="dxa"/>
          </w:tcPr>
          <w:p>
            <w:pPr>
              <w:spacing w:after="0"/>
            </w:pPr>
            <w:r>
              <w:t xml:space="preserve">Editorial risk reduced</w:t>
            </w:r>
          </w:p>
        </w:tc>
      </w:tr>
      <w:tr>
        <w:tc>
          <w:tcPr>
            <w:tcW w:w="2340" w:type="dxa"/>
          </w:tcPr>
          <w:p>
            <w:pPr>
              <w:spacing w:after="0"/>
            </w:pPr>
            <w:r>
              <w:t xml:space="preserve">Full interim validation block: 83.9% accuracy, 95% CI 72.7 to 95.1, sensitivity 87.0%, specificity 80.7%, 384 graded reads, 16 experts, 11 countries, 32 experts, 16 countries, 84% cross-vendor agreement, 15 records, Gwet's AC1 0.739 and 0.624, floor of 0.61, 10 records, 99 labels, target of about 26</w:t>
            </w:r>
          </w:p>
        </w:tc>
        <w:tc>
          <w:tcPr>
            <w:tcW w:w="2340" w:type="dxa"/>
          </w:tcPr>
          <w:p>
            <w:pPr>
              <w:spacing w:after="0"/>
            </w:pPr>
            <w:r>
              <w:rPr>
                <w:b/>
              </w:rPr>
              <w:t xml:space="preserve">Removed in full.</w:t>
            </w:r>
            <w:r>
              <w:t xml:space="preserve"> Replaced by one neutral sentence: structured validation using blinded reviewers, a predefined reference corpus, and prespecified evaluation criteria, with detailed results reported separately</w:t>
            </w:r>
          </w:p>
        </w:tc>
        <w:tc>
          <w:tcPr>
            <w:tcW w:w="2340" w:type="dxa"/>
          </w:tcPr>
          <w:p>
            <w:pPr>
              <w:spacing w:after="0"/>
            </w:pPr>
            <w:r>
              <w:t xml:space="preserve">These belong in the research paper. In a CCI article they convert an applied compliance piece into a research submission and invite methodological review the format cannot support</w:t>
            </w:r>
          </w:p>
        </w:tc>
        <w:tc>
          <w:tcPr>
            <w:tcW w:w="2340" w:type="dxa"/>
          </w:tcPr>
          <w:p>
            <w:pPr>
              <w:spacing w:after="0"/>
            </w:pPr>
            <w:r>
              <w:t xml:space="preserve">Removes the single largest rejection surface</w:t>
            </w:r>
          </w:p>
        </w:tc>
      </w:tr>
      <w:tr>
        <w:tc>
          <w:tcPr>
            <w:tcW w:w="2340" w:type="dxa"/>
          </w:tcPr>
          <w:p>
            <w:pPr>
              <w:spacing w:after="0"/>
            </w:pPr>
            <w:r>
              <w:t xml:space="preserve">"Every figure below is provisional until data collection closes in mid-August 2026" and the reference-corpus design paragraph</w:t>
            </w:r>
          </w:p>
        </w:tc>
        <w:tc>
          <w:tcPr>
            <w:tcW w:w="2340" w:type="dxa"/>
          </w:tcPr>
          <w:p>
            <w:pPr>
              <w:spacing w:after="0"/>
            </w:pPr>
            <w:r>
              <w:t xml:space="preserve">Removed</w:t>
            </w:r>
          </w:p>
        </w:tc>
        <w:tc>
          <w:tcPr>
            <w:tcW w:w="2340" w:type="dxa"/>
          </w:tcPr>
          <w:p>
            <w:pPr>
              <w:spacing w:after="0"/>
            </w:pPr>
            <w:r>
              <w:t xml:space="preserve">Research-paper signal</w:t>
            </w:r>
          </w:p>
        </w:tc>
        <w:tc>
          <w:tcPr>
            <w:tcW w:w="2340" w:type="dxa"/>
          </w:tcPr>
          <w:p>
            <w:pPr>
              <w:spacing w:after="0"/>
            </w:pPr>
            <w:r>
              <w:t xml:space="preserve">Removes an invitation to interrogate study design</w:t>
            </w:r>
          </w:p>
        </w:tc>
      </w:tr>
      <w:tr>
        <w:tc>
          <w:tcPr>
            <w:tcW w:w="2340" w:type="dxa"/>
          </w:tcPr>
          <w:p>
            <w:pPr>
              <w:spacing w:after="0"/>
            </w:pPr>
            <w:r>
              <w:t xml:space="preserve">Acknowledgment referring to "the figures cited above"</w:t>
            </w:r>
          </w:p>
        </w:tc>
        <w:tc>
          <w:tcPr>
            <w:tcW w:w="2340" w:type="dxa"/>
          </w:tcPr>
          <w:p>
            <w:pPr>
              <w:spacing w:after="0"/>
            </w:pPr>
            <w:r>
              <w:t xml:space="preserve">Rewritten to reference the validation methodology in Section IX, retained as an italic note</w:t>
            </w:r>
          </w:p>
        </w:tc>
        <w:tc>
          <w:tcPr>
            <w:tcW w:w="2340" w:type="dxa"/>
          </w:tcPr>
          <w:p>
            <w:pPr>
              <w:spacing w:after="0"/>
            </w:pPr>
            <w:r>
              <w:t xml:space="preserve">The figures it referenced no longer exist; leaving it would dangle</w:t>
            </w:r>
          </w:p>
        </w:tc>
        <w:tc>
          <w:tcPr>
            <w:tcW w:w="2340" w:type="dxa"/>
          </w:tcPr>
          <w:p>
            <w:pPr>
              <w:spacing w:after="0"/>
            </w:pPr>
            <w:r>
              <w:t xml:space="preserve">Removes an internal inconsistency a copy-editor would catch</w:t>
            </w:r>
          </w:p>
        </w:tc>
      </w:tr>
    </w:tbl>
    <w:p>
      <w:pPr/>
      <w:r>
        <w:t/>
      </w:r>
    </w:p>
    <w:p>
      <w:pPr>
        <w:pStyle w:val="Heading3"/>
        <w:spacing w:after="140"/>
      </w:pPr>
      <w:r>
        <w:t xml:space="preserve">JRS neutrality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Original issue</w:t>
            </w:r>
          </w:p>
        </w:tc>
        <w:tc>
          <w:tcPr>
            <w:tcW w:w="2340" w:type="dxa"/>
          </w:tcPr>
          <w:p>
            <w:pPr>
              <w:spacing w:after="0"/>
            </w:pPr>
            <w:r>
              <w:t xml:space="preserve">Surgical correction</w:t>
            </w:r>
          </w:p>
        </w:tc>
        <w:tc>
          <w:tcPr>
            <w:tcW w:w="2340" w:type="dxa"/>
          </w:tcPr>
          <w:p>
            <w:pPr>
              <w:spacing w:after="0"/>
            </w:pPr>
            <w:r>
              <w:t xml:space="preserve">Reason</w:t>
            </w:r>
          </w:p>
        </w:tc>
        <w:tc>
          <w:tcPr>
            <w:tcW w:w="2340" w:type="dxa"/>
          </w:tcPr>
          <w:p>
            <w:pPr>
              <w:spacing w:after="0"/>
            </w:pPr>
            <w:r>
              <w:t xml:space="preserve">Editorial risk reduced</w:t>
            </w:r>
          </w:p>
        </w:tc>
      </w:tr>
      <w:tr>
        <w:tc>
          <w:tcPr>
            <w:tcW w:w="2340" w:type="dxa"/>
          </w:tcPr>
          <w:p>
            <w:pPr>
              <w:spacing w:after="0"/>
            </w:pPr>
            <w:r>
              <w:t xml:space="preserve">"About JRS" section of roughly 470 words with three validation subheadings</w:t>
            </w:r>
          </w:p>
        </w:tc>
        <w:tc>
          <w:tcPr>
            <w:tcW w:w="2340" w:type="dxa"/>
          </w:tcPr>
          <w:p>
            <w:pPr>
              <w:spacing w:after="0"/>
            </w:pPr>
            <w:r>
              <w:t xml:space="preserve">Section IX, </w:t>
            </w:r>
            <w:r>
              <w:rPr>
                <w:b/>
              </w:rPr>
              <w:t xml:space="preserve">157 words</w:t>
            </w:r>
            <w:r>
              <w:t xml:space="preserve">: what it is, the five checks, one validation sentence</w:t>
            </w:r>
          </w:p>
        </w:tc>
        <w:tc>
          <w:tcPr>
            <w:tcW w:w="2340" w:type="dxa"/>
          </w:tcPr>
          <w:p>
            <w:pPr>
              <w:spacing w:after="0"/>
            </w:pPr>
            <w:r>
              <w:t xml:space="preserve">The article is not a JRS paper</w:t>
            </w:r>
          </w:p>
        </w:tc>
        <w:tc>
          <w:tcPr>
            <w:tcW w:w="2340" w:type="dxa"/>
          </w:tcPr>
          <w:p>
            <w:pPr>
              <w:spacing w:after="0"/>
            </w:pPr>
            <w:r>
              <w:t xml:space="preserve">Converts JRS from the article's purpose into an example</w:t>
            </w:r>
          </w:p>
        </w:tc>
      </w:tr>
      <w:tr>
        <w:tc>
          <w:tcPr>
            <w:tcW w:w="2340" w:type="dxa"/>
          </w:tcPr>
          <w:p>
            <w:pPr>
              <w:spacing w:after="0"/>
            </w:pPr>
            <w:r>
              <w:t xml:space="preserve">No statement that the analysis stands without JRS</w:t>
            </w:r>
          </w:p>
        </w:tc>
        <w:tc>
          <w:tcPr>
            <w:tcW w:w="2340" w:type="dxa"/>
          </w:tcPr>
          <w:p>
            <w:pPr>
              <w:spacing w:after="0"/>
            </w:pPr>
            <w:r>
              <w:t xml:space="preserve">Added: "The specific instrument matters less than the discipline. Any review that forces those five questions before a record is finalized addresses the same failure."</w:t>
            </w:r>
          </w:p>
        </w:tc>
        <w:tc>
          <w:tcPr>
            <w:tcW w:w="2340" w:type="dxa"/>
          </w:tcPr>
          <w:p>
            <w:pPr>
              <w:spacing w:after="0"/>
            </w:pPr>
            <w:r>
              <w:t xml:space="preserve">Neutrality test</w:t>
            </w:r>
          </w:p>
        </w:tc>
        <w:tc>
          <w:tcPr>
            <w:tcW w:w="2340" w:type="dxa"/>
          </w:tcPr>
          <w:p>
            <w:pPr>
              <w:spacing w:after="0"/>
            </w:pPr>
            <w:r>
              <w:t xml:space="preserve">A reader who never adopts JRS still gets the full benefit</w:t>
            </w:r>
          </w:p>
        </w:tc>
      </w:tr>
      <w:tr>
        <w:tc>
          <w:tcPr>
            <w:tcW w:w="2340" w:type="dxa"/>
          </w:tcPr>
          <w:p>
            <w:pPr>
              <w:spacing w:after="0"/>
            </w:pPr>
            <w:r>
              <w:t xml:space="preserve">"JRS needs no specialized software and no procedural redesign."</w:t>
            </w:r>
          </w:p>
        </w:tc>
        <w:tc>
          <w:tcPr>
            <w:tcW w:w="2340" w:type="dxa"/>
          </w:tcPr>
          <w:p>
            <w:pPr>
              <w:spacing w:after="0"/>
            </w:pPr>
            <w:r>
              <w:t xml:space="preserve">Removed</w:t>
            </w:r>
          </w:p>
        </w:tc>
        <w:tc>
          <w:tcPr>
            <w:tcW w:w="2340" w:type="dxa"/>
          </w:tcPr>
          <w:p>
            <w:pPr>
              <w:spacing w:after="0"/>
            </w:pPr>
            <w:r>
              <w:t xml:space="preserve">Product differentiation</w:t>
            </w:r>
          </w:p>
        </w:tc>
        <w:tc>
          <w:tcPr>
            <w:tcW w:w="2340" w:type="dxa"/>
          </w:tcPr>
          <w:p>
            <w:pPr>
              <w:spacing w:after="0"/>
            </w:pPr>
            <w:r>
              <w:t xml:space="preserve">Removes marketing register</w:t>
            </w:r>
          </w:p>
        </w:tc>
      </w:tr>
      <w:tr>
        <w:tc>
          <w:tcPr>
            <w:tcW w:w="2340" w:type="dxa"/>
          </w:tcPr>
          <w:p>
            <w:pPr>
              <w:spacing w:after="0"/>
            </w:pPr>
            <w:r>
              <w:t xml:space="preserve">"A related article is due in CEP Magazine in November."</w:t>
            </w:r>
          </w:p>
        </w:tc>
        <w:tc>
          <w:tcPr>
            <w:tcW w:w="2340" w:type="dxa"/>
          </w:tcPr>
          <w:p>
            <w:pPr>
              <w:spacing w:after="0"/>
            </w:pPr>
            <w:r>
              <w:t xml:space="preserve">Removed</w:t>
            </w:r>
          </w:p>
        </w:tc>
        <w:tc>
          <w:tcPr>
            <w:tcW w:w="2340" w:type="dxa"/>
          </w:tcPr>
          <w:p>
            <w:pPr>
              <w:spacing w:after="0"/>
            </w:pPr>
            <w:r>
              <w:t xml:space="preserve">Cross-promotion</w:t>
            </w:r>
          </w:p>
        </w:tc>
        <w:tc>
          <w:tcPr>
            <w:tcW w:w="2340" w:type="dxa"/>
          </w:tcPr>
          <w:p>
            <w:pPr>
              <w:spacing w:after="0"/>
            </w:pPr>
            <w:r>
              <w:t xml:space="preserve">Removes lead-generation signal</w:t>
            </w:r>
          </w:p>
        </w:tc>
      </w:tr>
      <w:tr>
        <w:tc>
          <w:tcPr>
            <w:tcW w:w="2340" w:type="dxa"/>
          </w:tcPr>
          <w:p>
            <w:pPr>
              <w:spacing w:after="0"/>
            </w:pPr>
            <w:r>
              <w:rPr>
                <w:rFonts w:ascii="Consolas" w:hAnsi="Consolas"/>
              </w:rPr>
              <w:t xml:space="preserve">JRS: https://jrsstandard.com</w:t>
            </w:r>
          </w:p>
        </w:tc>
        <w:tc>
          <w:tcPr>
            <w:tcW w:w="2340" w:type="dxa"/>
          </w:tcPr>
          <w:p>
            <w:pPr>
              <w:spacing w:after="0"/>
            </w:pPr>
            <w:r>
              <w:t xml:space="preserve">Removed</w:t>
            </w:r>
          </w:p>
        </w:tc>
        <w:tc>
          <w:tcPr>
            <w:tcW w:w="2340" w:type="dxa"/>
          </w:tcPr>
          <w:p>
            <w:pPr>
              <w:spacing w:after="0"/>
            </w:pPr>
            <w:r>
              <w:t xml:space="preserve">Direct promotional URL</w:t>
            </w:r>
          </w:p>
        </w:tc>
        <w:tc>
          <w:tcPr>
            <w:tcW w:w="2340" w:type="dxa"/>
          </w:tcPr>
          <w:p>
            <w:pPr>
              <w:spacing w:after="0"/>
            </w:pPr>
            <w:r>
              <w:t xml:space="preserve">Removes the clearest commercial marker</w:t>
            </w:r>
          </w:p>
        </w:tc>
      </w:tr>
      <w:tr>
        <w:tc>
          <w:tcPr>
            <w:tcW w:w="2340" w:type="dxa"/>
          </w:tcPr>
          <w:p>
            <w:pPr>
              <w:spacing w:after="0"/>
            </w:pPr>
            <w:r>
              <w:t xml:space="preserve">Authorship interest disclosed only in the end bio</w:t>
            </w:r>
          </w:p>
        </w:tc>
        <w:tc>
          <w:tcPr>
            <w:tcW w:w="2340" w:type="dxa"/>
          </w:tcPr>
          <w:p>
            <w:pPr>
              <w:spacing w:after="0"/>
            </w:pPr>
            <w:r>
              <w:t xml:space="preserve">Moved to the standfirst: "Phillip Wikes developed the Justification Review Standard described in Section IX," and repeated at first mention as "developed by one of the authors"</w:t>
            </w:r>
          </w:p>
        </w:tc>
        <w:tc>
          <w:tcPr>
            <w:tcW w:w="2340" w:type="dxa"/>
          </w:tcPr>
          <w:p>
            <w:pPr>
              <w:spacing w:after="0"/>
            </w:pPr>
            <w:r>
              <w:t xml:space="preserve">An editor should not have to reach the bio to find the interest</w:t>
            </w:r>
          </w:p>
        </w:tc>
        <w:tc>
          <w:tcPr>
            <w:tcW w:w="2340" w:type="dxa"/>
          </w:tcPr>
          <w:p>
            <w:pPr>
              <w:spacing w:after="0"/>
            </w:pPr>
            <w:r>
              <w:t xml:space="preserve">Pre-empts an undisclosed-interest objection</w:t>
            </w:r>
          </w:p>
        </w:tc>
      </w:tr>
    </w:tbl>
    <w:p>
      <w:pPr/>
      <w:r>
        <w:t/>
      </w:r>
    </w:p>
    <w:p>
      <w:pPr>
        <w:pStyle w:val="Heading3"/>
        <w:spacing w:after="140"/>
      </w:pPr>
      <w:r>
        <w:t xml:space="preserve">Length</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Original issue</w:t>
            </w:r>
          </w:p>
        </w:tc>
        <w:tc>
          <w:tcPr>
            <w:tcW w:w="2340" w:type="dxa"/>
          </w:tcPr>
          <w:p>
            <w:pPr>
              <w:spacing w:after="0"/>
            </w:pPr>
            <w:r>
              <w:t xml:space="preserve">Surgical correction</w:t>
            </w:r>
          </w:p>
        </w:tc>
        <w:tc>
          <w:tcPr>
            <w:tcW w:w="2340" w:type="dxa"/>
          </w:tcPr>
          <w:p>
            <w:pPr>
              <w:spacing w:after="0"/>
            </w:pPr>
            <w:r>
              <w:t xml:space="preserve">Reason</w:t>
            </w:r>
          </w:p>
        </w:tc>
        <w:tc>
          <w:tcPr>
            <w:tcW w:w="2340" w:type="dxa"/>
          </w:tcPr>
          <w:p>
            <w:pPr>
              <w:spacing w:after="0"/>
            </w:pPr>
            <w:r>
              <w:t xml:space="preserve">Editorial risk reduced</w:t>
            </w:r>
          </w:p>
        </w:tc>
      </w:tr>
      <w:tr>
        <w:tc>
          <w:tcPr>
            <w:tcW w:w="2340" w:type="dxa"/>
          </w:tcPr>
          <w:p>
            <w:pPr>
              <w:spacing w:after="0"/>
            </w:pPr>
            <w:r>
              <w:t xml:space="preserve">2,451 words</w:t>
            </w:r>
          </w:p>
        </w:tc>
        <w:tc>
          <w:tcPr>
            <w:tcW w:w="2340" w:type="dxa"/>
          </w:tcPr>
          <w:p>
            <w:pPr>
              <w:spacing w:after="0"/>
            </w:pPr>
            <w:r>
              <w:rPr>
                <w:b/>
              </w:rPr>
              <w:t xml:space="preserve">1,757 body words</w:t>
            </w:r>
            <w:r>
              <w:t xml:space="preserve">, a 28 percent reduction</w:t>
            </w:r>
          </w:p>
        </w:tc>
        <w:tc>
          <w:tcPr>
            <w:tcW w:w="2340" w:type="dxa"/>
          </w:tcPr>
          <w:p>
            <w:pPr>
              <w:spacing w:after="0"/>
            </w:pPr>
            <w:r>
              <w:t xml:space="preserve">CCI format</w:t>
            </w:r>
          </w:p>
        </w:tc>
        <w:tc>
          <w:tcPr>
            <w:tcW w:w="2340" w:type="dxa"/>
          </w:tcPr>
          <w:p>
            <w:pPr>
              <w:spacing w:after="0"/>
            </w:pPr>
            <w:r>
              <w:t xml:space="preserve">Fits the publication</w:t>
            </w:r>
          </w:p>
        </w:tc>
      </w:tr>
      <w:tr>
        <w:tc>
          <w:tcPr>
            <w:tcW w:w="2340" w:type="dxa"/>
          </w:tcPr>
          <w:p>
            <w:pPr>
              <w:spacing w:after="0"/>
            </w:pPr>
            <w:r>
              <w:t xml:space="preserve">Repetition across I, II, VII and X</w:t>
            </w:r>
          </w:p>
        </w:tc>
        <w:tc>
          <w:tcPr>
            <w:tcW w:w="2340" w:type="dxa"/>
          </w:tcPr>
          <w:p>
            <w:pPr>
              <w:spacing w:after="0"/>
            </w:pPr>
            <w:r>
              <w:t xml:space="preserve">Compressed connective tissue; no argument removed</w:t>
            </w:r>
          </w:p>
        </w:tc>
        <w:tc>
          <w:tcPr>
            <w:tcW w:w="2340" w:type="dxa"/>
          </w:tcPr>
          <w:p>
            <w:pPr>
              <w:spacing w:after="0"/>
            </w:pPr>
            <w:r>
              <w:t xml:space="preserve">Concision</w:t>
            </w:r>
          </w:p>
        </w:tc>
        <w:tc>
          <w:tcPr>
            <w:tcW w:w="2340" w:type="dxa"/>
          </w:tcPr>
          <w:p>
            <w:pPr>
              <w:spacing w:after="0"/>
            </w:pPr>
            <w:r>
              <w:t xml:space="preserve">Reads as deliberate rather than padded</w:t>
            </w:r>
          </w:p>
        </w:tc>
      </w:tr>
    </w:tbl>
    <w:p>
      <w:pPr/>
      <w:r>
        <w:t/>
      </w:r>
    </w:p>
    <w:p>
      <w:pPr>
        <w:spacing w:after="140"/>
      </w:pPr>
      <w:r>
        <w:rPr>
          <w:b/>
        </w:rPr>
        <w:t xml:space="preserve">Why the article sits at 1,757 rather than 1,650.</w:t>
      </w:r>
      <w:r>
        <w:t xml:space="preserve"> The remaining excess is concentrated in Section V, the European governance section, which the instruction protects most strongly and which carries the highest density of legal qualification per sentence. Cutting a further hundred words there would mean removing a qualifier, and every qualifier in that section exists to keep a legal claim accurate. The instruction is explicit that the target should not be met mechanically where doing so damages the argument. </w:t>
      </w:r>
      <w:r>
        <w:rPr>
          <w:b/>
        </w:rPr>
        <w:t xml:space="preserve">The overrun is 6.5 percent and is a deliberate editorial choice, not an oversight.</w:t>
      </w:r>
      <w:r>
        <w:t xml:space="preserve"> If CCI enforces a hard ceiling, Section II and Section VII can absorb a further 100 words without touching a legal proposition.</w:t>
      </w:r>
    </w:p>
    <w:p>
      <w:pPr>
        <w:pStyle w:val="Heading3"/>
        <w:spacing w:after="140"/>
      </w:pPr>
      <w:r>
        <w:t xml:space="preserve">Style and structure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Original issue</w:t>
            </w:r>
          </w:p>
        </w:tc>
        <w:tc>
          <w:tcPr>
            <w:tcW w:w="3120" w:type="dxa"/>
          </w:tcPr>
          <w:p>
            <w:pPr>
              <w:spacing w:after="0"/>
            </w:pPr>
            <w:r>
              <w:t xml:space="preserve">Surgical correction</w:t>
            </w:r>
          </w:p>
        </w:tc>
        <w:tc>
          <w:tcPr>
            <w:tcW w:w="3120" w:type="dxa"/>
          </w:tcPr>
          <w:p>
            <w:pPr>
              <w:spacing w:after="0"/>
            </w:pPr>
            <w:r>
              <w:t xml:space="preserve">Reason</w:t>
            </w:r>
          </w:p>
        </w:tc>
      </w:tr>
      <w:tr>
        <w:tc>
          <w:tcPr>
            <w:tcW w:w="3120" w:type="dxa"/>
          </w:tcPr>
          <w:p>
            <w:pPr>
              <w:spacing w:after="0"/>
            </w:pPr>
            <w:r>
              <w:t xml:space="preserve">Nine sections plus three back-matter blocks</w:t>
            </w:r>
          </w:p>
        </w:tc>
        <w:tc>
          <w:tcPr>
            <w:tcW w:w="3120" w:type="dxa"/>
          </w:tcPr>
          <w:p>
            <w:pPr>
              <w:spacing w:after="0"/>
            </w:pPr>
            <w:r>
              <w:t xml:space="preserve">Ten sections matching the specified structure, with JRS moved to IX as an example</w:t>
            </w:r>
          </w:p>
        </w:tc>
        <w:tc>
          <w:tcPr>
            <w:tcW w:w="3120" w:type="dxa"/>
          </w:tcPr>
          <w:p>
            <w:pPr>
              <w:spacing w:after="0"/>
            </w:pPr>
            <w:r>
              <w:t xml:space="preserve">Specified target</w:t>
            </w:r>
          </w:p>
        </w:tc>
      </w:tr>
      <w:tr>
        <w:tc>
          <w:tcPr>
            <w:tcW w:w="3120" w:type="dxa"/>
          </w:tcPr>
          <w:p>
            <w:pPr>
              <w:spacing w:after="0"/>
            </w:pPr>
            <w:r>
              <w:t xml:space="preserve">Subtitle "Why AI-assisted records that cannot explain themselves have become a transatlantic governance problem"</w:t>
            </w:r>
          </w:p>
        </w:tc>
        <w:tc>
          <w:tcPr>
            <w:tcW w:w="3120" w:type="dxa"/>
          </w:tcPr>
          <w:p>
            <w:pPr>
              <w:spacing w:after="0"/>
            </w:pPr>
            <w:r>
              <w:t xml:space="preserve">Removed</w:t>
            </w:r>
          </w:p>
        </w:tc>
        <w:tc>
          <w:tcPr>
            <w:tcW w:w="3120" w:type="dxa"/>
          </w:tcPr>
          <w:p>
            <w:pPr>
              <w:spacing w:after="0"/>
            </w:pPr>
            <w:r>
              <w:t xml:space="preserve">The lede carries it</w:t>
            </w:r>
          </w:p>
        </w:tc>
      </w:tr>
      <w:tr>
        <w:tc>
          <w:tcPr>
            <w:tcW w:w="3120" w:type="dxa"/>
          </w:tcPr>
          <w:p>
            <w:pPr>
              <w:spacing w:after="0"/>
            </w:pPr>
            <w:r>
              <w:t xml:space="preserve">"DRR" used as an acronym after first definition</w:t>
            </w:r>
          </w:p>
        </w:tc>
        <w:tc>
          <w:tcPr>
            <w:tcW w:w="3120" w:type="dxa"/>
          </w:tcPr>
          <w:p>
            <w:pPr>
              <w:spacing w:after="0"/>
            </w:pPr>
            <w:r>
              <w:t xml:space="preserve">Spelled out throughout</w:t>
            </w:r>
          </w:p>
        </w:tc>
        <w:tc>
          <w:tcPr>
            <w:tcW w:w="3120" w:type="dxa"/>
          </w:tcPr>
          <w:p>
            <w:pPr>
              <w:spacing w:after="0"/>
            </w:pPr>
            <w:r>
              <w:t xml:space="preserve">Avoids acronym proliferation in a general-readership piece</w:t>
            </w:r>
          </w:p>
        </w:tc>
      </w:tr>
      <w:tr>
        <w:tc>
          <w:tcPr>
            <w:tcW w:w="3120" w:type="dxa"/>
          </w:tcPr>
          <w:p>
            <w:pPr>
              <w:spacing w:after="0"/>
            </w:pPr>
            <w:r>
              <w:t xml:space="preserve">Em-dashes</w:t>
            </w:r>
          </w:p>
        </w:tc>
        <w:tc>
          <w:tcPr>
            <w:tcW w:w="3120" w:type="dxa"/>
          </w:tcPr>
          <w:p>
            <w:pPr>
              <w:spacing w:after="0"/>
            </w:pPr>
            <w:r>
              <w:t xml:space="preserve">Zero in the source, zero in the revision</w:t>
            </w:r>
          </w:p>
        </w:tc>
        <w:tc>
          <w:tcPr>
            <w:tcW w:w="3120" w:type="dxa"/>
          </w:tcPr>
          <w:p>
            <w:pPr>
              <w:spacing w:after="0"/>
            </w:pPr>
            <w:r>
              <w:t xml:space="preserve">House rule and instruction</w:t>
            </w:r>
          </w:p>
        </w:tc>
      </w:tr>
    </w:tbl>
    <w:p>
      <w:pPr/>
      <w:r>
        <w:t/>
      </w:r>
    </w:p>
    <w:p>
      <w:pPr>
        <w:pBdr>
          <w:bottom w:val="single" w:sz="6" w:space="1" w:color="AAAAAA"/>
        </w:pBdr>
      </w:pPr>
    </w:p>
    <w:p>
      <w:pPr>
        <w:pStyle w:val="Heading2"/>
        <w:spacing w:after="140"/>
      </w:pPr>
      <w:r>
        <w:t xml:space="preserve">PART 3: PUBLICATION RISK AUDIT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w:t>
            </w:r>
          </w:p>
        </w:tc>
        <w:tc>
          <w:tcPr>
            <w:tcW w:w="1872" w:type="dxa"/>
          </w:tcPr>
          <w:p>
            <w:pPr>
              <w:spacing w:after="0"/>
            </w:pPr>
            <w:r>
              <w:t xml:space="preserve">Proposition</w:t>
            </w:r>
          </w:p>
        </w:tc>
        <w:tc>
          <w:tcPr>
            <w:tcW w:w="1872" w:type="dxa"/>
          </w:tcPr>
          <w:p>
            <w:pPr>
              <w:spacing w:after="0"/>
            </w:pPr>
            <w:r>
              <w:t xml:space="preserve">Location</w:t>
            </w:r>
          </w:p>
        </w:tc>
        <w:tc>
          <w:tcPr>
            <w:tcW w:w="1872" w:type="dxa"/>
          </w:tcPr>
          <w:p>
            <w:pPr>
              <w:spacing w:after="0"/>
            </w:pPr>
            <w:r>
              <w:t xml:space="preserve">Concern</w:t>
            </w:r>
          </w:p>
        </w:tc>
        <w:tc>
          <w:tcPr>
            <w:tcW w:w="1872" w:type="dxa"/>
          </w:tcPr>
          <w:p>
            <w:pPr>
              <w:spacing w:after="0"/>
            </w:pPr>
            <w:r>
              <w:t xml:space="preserve">Rank</w:t>
            </w:r>
          </w:p>
        </w:tc>
      </w:tr>
      <w:tr>
        <w:tc>
          <w:tcPr>
            <w:tcW w:w="1872" w:type="dxa"/>
          </w:tcPr>
          <w:p>
            <w:pPr>
              <w:spacing w:after="0"/>
            </w:pPr>
            <w:r>
              <w:t xml:space="preserve">1</w:t>
            </w:r>
          </w:p>
        </w:tc>
        <w:tc>
          <w:tcPr>
            <w:tcW w:w="1872" w:type="dxa"/>
          </w:tcPr>
          <w:p>
            <w:pPr>
              <w:spacing w:after="0"/>
            </w:pPr>
            <w:r>
              <w:rPr>
                <w:b/>
              </w:rPr>
              <w:t xml:space="preserve">"postponed by Regulation (EU) 2026/1744. Annex III high-risk systems from 2 December 2027, and high-risk systems linked to regulated products under Annex I from 2 August 2028."</w:t>
            </w:r>
          </w:p>
        </w:tc>
        <w:tc>
          <w:tcPr>
            <w:tcW w:w="1872" w:type="dxa"/>
          </w:tcPr>
          <w:p>
            <w:pPr>
              <w:spacing w:after="0"/>
            </w:pPr>
            <w:r>
              <w:t xml:space="preserve">V</w:t>
            </w:r>
          </w:p>
        </w:tc>
        <w:tc>
          <w:tcPr>
            <w:tcW w:w="1872" w:type="dxa"/>
          </w:tcPr>
          <w:p>
            <w:pPr>
              <w:spacing w:after="0"/>
            </w:pPr>
            <w:r>
              <w:rPr>
                <w:b/>
              </w:rPr>
              <w:t xml:space="preserve">Regulatory accuracy. This assistant cannot verify this instrument or either date</w:t>
            </w:r>
            <w:r>
              <w:t xml:space="preserve">; both postdate its knowledge and no source available to it references them. Carried exactly as drafted by the contributing co-author, an ISO/IEC 42001 auditor working in this area. </w:t>
            </w:r>
            <w:r>
              <w:rPr>
                <w:b/>
              </w:rPr>
              <w:t xml:space="preserve">Verify against the Official Journal before submission.</w:t>
            </w:r>
            <w:r>
              <w:t xml:space="preserve"> A wrong date in a compliance-facing article is precisely what a CCI fact-checker will catch</w:t>
            </w:r>
          </w:p>
        </w:tc>
        <w:tc>
          <w:tcPr>
            <w:tcW w:w="1872" w:type="dxa"/>
          </w:tcPr>
          <w:p>
            <w:pPr>
              <w:spacing w:after="0"/>
            </w:pPr>
            <w:r>
              <w:rPr>
                <w:b/>
              </w:rPr>
              <w:t xml:space="preserve">HIGH</w:t>
            </w:r>
          </w:p>
        </w:tc>
      </w:tr>
      <w:tr>
        <w:tc>
          <w:tcPr>
            <w:tcW w:w="1872" w:type="dxa"/>
          </w:tcPr>
          <w:p>
            <w:pPr>
              <w:spacing w:after="0"/>
            </w:pPr>
            <w:r>
              <w:t xml:space="preserve">2</w:t>
            </w:r>
          </w:p>
        </w:tc>
        <w:tc>
          <w:tcPr>
            <w:tcW w:w="1872" w:type="dxa"/>
          </w:tcPr>
          <w:p>
            <w:pPr>
              <w:spacing w:after="0"/>
            </w:pPr>
            <w:r>
              <w:t xml:space="preserve">Eight embedded hyperlinks</w:t>
            </w:r>
          </w:p>
        </w:tc>
        <w:tc>
          <w:tcPr>
            <w:tcW w:w="1872" w:type="dxa"/>
          </w:tcPr>
          <w:p>
            <w:pPr>
              <w:spacing w:after="0"/>
            </w:pPr>
            <w:r>
              <w:t xml:space="preserve">II, V</w:t>
            </w:r>
          </w:p>
        </w:tc>
        <w:tc>
          <w:tcPr>
            <w:tcW w:w="1872" w:type="dxa"/>
          </w:tcPr>
          <w:p>
            <w:pPr>
              <w:spacing w:after="0"/>
            </w:pPr>
            <w:r>
              <w:t xml:space="preserve">Citation. Each points to an official or authoritative source (EEOC, DOJ, Justia, Cornell LII, EUR-Lex, ISO). </w:t>
            </w:r>
            <w:r>
              <w:rPr>
                <w:b/>
              </w:rPr>
              <w:t xml:space="preserve">All should be click-tested before submission</w:t>
            </w:r>
            <w:r>
              <w:t xml:space="preserve">; a dead link in a submitted draft reads as carelessness</w:t>
            </w:r>
          </w:p>
        </w:tc>
        <w:tc>
          <w:tcPr>
            <w:tcW w:w="1872" w:type="dxa"/>
          </w:tcPr>
          <w:p>
            <w:pPr>
              <w:spacing w:after="0"/>
            </w:pPr>
            <w:r>
              <w:rPr>
                <w:b/>
              </w:rPr>
              <w:t xml:space="preserve">MEDIUM</w:t>
            </w:r>
          </w:p>
        </w:tc>
      </w:tr>
      <w:tr>
        <w:tc>
          <w:tcPr>
            <w:tcW w:w="1872" w:type="dxa"/>
          </w:tcPr>
          <w:p>
            <w:pPr>
              <w:spacing w:after="0"/>
            </w:pPr>
            <w:r>
              <w:t xml:space="preserve">3</w:t>
            </w:r>
          </w:p>
        </w:tc>
        <w:tc>
          <w:tcPr>
            <w:tcW w:w="1872" w:type="dxa"/>
          </w:tcPr>
          <w:p>
            <w:pPr>
              <w:spacing w:after="0"/>
            </w:pPr>
            <w:r>
              <w:t xml:space="preserve">"the same demand arrives through discovery and through the burden-shifting frameworks that structure employment and housing cases"</w:t>
            </w:r>
          </w:p>
        </w:tc>
        <w:tc>
          <w:tcPr>
            <w:tcW w:w="1872" w:type="dxa"/>
          </w:tcPr>
          <w:p>
            <w:pPr>
              <w:spacing w:after="0"/>
            </w:pPr>
            <w:r>
              <w:t xml:space="preserve">I</w:t>
            </w:r>
          </w:p>
        </w:tc>
        <w:tc>
          <w:tcPr>
            <w:tcW w:w="1872" w:type="dxa"/>
          </w:tcPr>
          <w:p>
            <w:pPr>
              <w:spacing w:after="0"/>
            </w:pPr>
            <w:r>
              <w:t xml:space="preserve">Legal. Compressed framing of two different mechanisms. Defensible as scene-setting, and Section II does the precise work, but a literal reader may want it hedged</w:t>
            </w:r>
          </w:p>
        </w:tc>
        <w:tc>
          <w:tcPr>
            <w:tcW w:w="1872" w:type="dxa"/>
          </w:tcPr>
          <w:p>
            <w:pPr>
              <w:spacing w:after="0"/>
            </w:pPr>
            <w:r>
              <w:rPr>
                <w:b/>
              </w:rPr>
              <w:t xml:space="preserve">LOW</w:t>
            </w:r>
          </w:p>
        </w:tc>
      </w:tr>
      <w:tr>
        <w:tc>
          <w:tcPr>
            <w:tcW w:w="1872" w:type="dxa"/>
          </w:tcPr>
          <w:p>
            <w:pPr>
              <w:spacing w:after="0"/>
            </w:pPr>
            <w:r>
              <w:t xml:space="preserve">4</w:t>
            </w:r>
          </w:p>
        </w:tc>
        <w:tc>
          <w:tcPr>
            <w:tcW w:w="1872" w:type="dxa"/>
          </w:tcPr>
          <w:p>
            <w:pPr>
              <w:spacing w:after="0"/>
            </w:pPr>
            <w:r>
              <w:t xml:space="preserve">"In litigation, that can read as reasoning assembled after the decision"</w:t>
            </w:r>
          </w:p>
        </w:tc>
        <w:tc>
          <w:tcPr>
            <w:tcW w:w="1872" w:type="dxa"/>
          </w:tcPr>
          <w:p>
            <w:pPr>
              <w:spacing w:after="0"/>
            </w:pPr>
            <w:r>
              <w:t xml:space="preserve">III</w:t>
            </w:r>
          </w:p>
        </w:tc>
        <w:tc>
          <w:tcPr>
            <w:tcW w:w="1872" w:type="dxa"/>
          </w:tcPr>
          <w:p>
            <w:pPr>
              <w:spacing w:after="0"/>
            </w:pPr>
            <w:r>
              <w:t xml:space="preserve">Legal. Framed as how an argument may land, not as a legal conclusion. Appropriately qualified</w:t>
            </w:r>
          </w:p>
        </w:tc>
        <w:tc>
          <w:tcPr>
            <w:tcW w:w="1872" w:type="dxa"/>
          </w:tcPr>
          <w:p>
            <w:pPr>
              <w:spacing w:after="0"/>
            </w:pPr>
            <w:r>
              <w:rPr>
                <w:b/>
              </w:rPr>
              <w:t xml:space="preserve">LOW</w:t>
            </w:r>
          </w:p>
        </w:tc>
      </w:tr>
      <w:tr>
        <w:tc>
          <w:tcPr>
            <w:tcW w:w="1872" w:type="dxa"/>
          </w:tcPr>
          <w:p>
            <w:pPr>
              <w:spacing w:after="0"/>
            </w:pPr>
            <w:r>
              <w:t xml:space="preserve">5</w:t>
            </w:r>
          </w:p>
        </w:tc>
        <w:tc>
          <w:tcPr>
            <w:tcW w:w="1872" w:type="dxa"/>
          </w:tcPr>
          <w:p>
            <w:pPr>
              <w:spacing w:after="0"/>
            </w:pPr>
            <w:r>
              <w:t xml:space="preserve">"Uniformity that once took years of individual writing to accumulate can now appear across a single quarter of AI-assisted drafting."</w:t>
            </w:r>
          </w:p>
        </w:tc>
        <w:tc>
          <w:tcPr>
            <w:tcW w:w="1872" w:type="dxa"/>
          </w:tcPr>
          <w:p>
            <w:pPr>
              <w:spacing w:after="0"/>
            </w:pPr>
            <w:r>
              <w:t xml:space="preserve">IV</w:t>
            </w:r>
          </w:p>
        </w:tc>
        <w:tc>
          <w:tcPr>
            <w:tcW w:w="1872" w:type="dxa"/>
          </w:tcPr>
          <w:p>
            <w:pPr>
              <w:spacing w:after="0"/>
            </w:pPr>
            <w:r>
              <w:t xml:space="preserve">Evidence. An illustrative claim about scale, not a measured finding. Reads as analysis rather than data, but is unsupported</w:t>
            </w:r>
          </w:p>
        </w:tc>
        <w:tc>
          <w:tcPr>
            <w:tcW w:w="1872" w:type="dxa"/>
          </w:tcPr>
          <w:p>
            <w:pPr>
              <w:spacing w:after="0"/>
            </w:pPr>
            <w:r>
              <w:rPr>
                <w:b/>
              </w:rPr>
              <w:t xml:space="preserve">LOW</w:t>
            </w:r>
          </w:p>
        </w:tc>
      </w:tr>
      <w:tr>
        <w:tc>
          <w:tcPr>
            <w:tcW w:w="1872" w:type="dxa"/>
          </w:tcPr>
          <w:p>
            <w:pPr>
              <w:spacing w:after="0"/>
            </w:pPr>
            <w:r>
              <w:t xml:space="preserve">6</w:t>
            </w:r>
          </w:p>
        </w:tc>
        <w:tc>
          <w:tcPr>
            <w:tcW w:w="1872" w:type="dxa"/>
          </w:tcPr>
          <w:p>
            <w:pPr>
              <w:spacing w:after="0"/>
            </w:pPr>
            <w:r>
              <w:t xml:space="preserve">Section IX validation sentence</w:t>
            </w:r>
          </w:p>
        </w:tc>
        <w:tc>
          <w:tcPr>
            <w:tcW w:w="1872" w:type="dxa"/>
          </w:tcPr>
          <w:p>
            <w:pPr>
              <w:spacing w:after="0"/>
            </w:pPr>
            <w:r>
              <w:t xml:space="preserve">IX</w:t>
            </w:r>
          </w:p>
        </w:tc>
        <w:tc>
          <w:tcPr>
            <w:tcW w:w="1872" w:type="dxa"/>
          </w:tcPr>
          <w:p>
            <w:pPr>
              <w:spacing w:after="0"/>
            </w:pPr>
            <w:r>
              <w:t xml:space="preserve">Methodological. Deliberately contains no result, no sample size and no coefficient. Cannot be attacked on method because it asserts none</w:t>
            </w:r>
          </w:p>
        </w:tc>
        <w:tc>
          <w:tcPr>
            <w:tcW w:w="1872" w:type="dxa"/>
          </w:tcPr>
          <w:p>
            <w:pPr>
              <w:spacing w:after="0"/>
            </w:pPr>
            <w:r>
              <w:rPr>
                <w:b/>
              </w:rPr>
              <w:t xml:space="preserve">LOW</w:t>
            </w:r>
          </w:p>
        </w:tc>
      </w:tr>
      <w:tr>
        <w:tc>
          <w:tcPr>
            <w:tcW w:w="1872" w:type="dxa"/>
          </w:tcPr>
          <w:p>
            <w:pPr>
              <w:spacing w:after="0"/>
            </w:pPr>
            <w:r>
              <w:t xml:space="preserve">7</w:t>
            </w:r>
          </w:p>
        </w:tc>
        <w:tc>
          <w:tcPr>
            <w:tcW w:w="1872" w:type="dxa"/>
          </w:tcPr>
          <w:p>
            <w:pPr>
              <w:spacing w:after="0"/>
            </w:pPr>
            <w:r>
              <w:t xml:space="preserve">Author-interest disclosure</w:t>
            </w:r>
          </w:p>
        </w:tc>
        <w:tc>
          <w:tcPr>
            <w:tcW w:w="1872" w:type="dxa"/>
          </w:tcPr>
          <w:p>
            <w:pPr>
              <w:spacing w:after="0"/>
            </w:pPr>
            <w:r>
              <w:t xml:space="preserve">Standfirst, IX, bio</w:t>
            </w:r>
          </w:p>
        </w:tc>
        <w:tc>
          <w:tcPr>
            <w:tcW w:w="1872" w:type="dxa"/>
          </w:tcPr>
          <w:p>
            <w:pPr>
              <w:spacing w:after="0"/>
            </w:pPr>
            <w:r>
              <w:t xml:space="preserve">Promotional. Disclosed three times. Neutral phrasing throughout</w:t>
            </w:r>
          </w:p>
        </w:tc>
        <w:tc>
          <w:tcPr>
            <w:tcW w:w="1872" w:type="dxa"/>
          </w:tcPr>
          <w:p>
            <w:pPr>
              <w:spacing w:after="0"/>
            </w:pPr>
            <w:r>
              <w:rPr>
                <w:b/>
              </w:rPr>
              <w:t xml:space="preserve">LOW</w:t>
            </w:r>
          </w:p>
        </w:tc>
      </w:tr>
    </w:tbl>
    <w:p>
      <w:pPr/>
      <w:r>
        <w:t/>
      </w:r>
    </w:p>
    <w:p>
      <w:pPr>
        <w:spacing w:after="140"/>
      </w:pPr>
      <w:r>
        <w:rPr>
          <w:b/>
        </w:rPr>
        <w:t xml:space="preserve">No HIGH risk exists in the article's own analysis.</w:t>
      </w:r>
      <w:r>
        <w:t xml:space="preserve"> The single HIGH item is an unverifiable external citation contributed by a co-author, and it is verifiable by the authors in minutes.</w:t>
      </w:r>
    </w:p>
    <w:p>
      <w:pPr>
        <w:pBdr>
          <w:bottom w:val="single" w:sz="6" w:space="1" w:color="AAAAAA"/>
        </w:pBdr>
      </w:pPr>
    </w:p>
    <w:p>
      <w:pPr>
        <w:pStyle w:val="Heading2"/>
        <w:spacing w:after="140"/>
      </w:pPr>
      <w:r>
        <w:t xml:space="preserve">PART 4: FINAL HEAD-EDITOR VERDICT</w:t>
      </w:r>
    </w:p>
    <w:p>
      <w:pPr>
        <w:pStyle w:val="Heading3"/>
        <w:spacing w:after="140"/>
      </w:pPr>
      <w:r>
        <w:t xml:space="preserve">Score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Criterion</w:t>
            </w:r>
          </w:p>
        </w:tc>
        <w:tc>
          <w:tcPr>
            <w:tcW w:w="2340" w:type="dxa"/>
          </w:tcPr>
          <w:p>
            <w:pPr>
              <w:spacing w:after="0"/>
            </w:pPr>
            <w:r>
              <w:t xml:space="preserve">Weight</w:t>
            </w:r>
          </w:p>
        </w:tc>
        <w:tc>
          <w:tcPr>
            <w:tcW w:w="2340" w:type="dxa"/>
          </w:tcPr>
          <w:p>
            <w:pPr>
              <w:spacing w:after="0"/>
            </w:pPr>
            <w:r>
              <w:t xml:space="preserve">Score</w:t>
            </w:r>
          </w:p>
        </w:tc>
        <w:tc>
          <w:tcPr>
            <w:tcW w:w="2340" w:type="dxa"/>
          </w:tcPr>
          <w:p>
            <w:pPr>
              <w:spacing w:after="0"/>
            </w:pPr>
            <w:r>
              <w:t xml:space="preserve">Note</w:t>
            </w:r>
          </w:p>
        </w:tc>
      </w:tr>
      <w:tr>
        <w:tc>
          <w:tcPr>
            <w:tcW w:w="2340" w:type="dxa"/>
          </w:tcPr>
          <w:p>
            <w:pPr>
              <w:spacing w:after="0"/>
            </w:pPr>
            <w:r>
              <w:t xml:space="preserve">CCI relevance</w:t>
            </w:r>
          </w:p>
        </w:tc>
        <w:tc>
          <w:tcPr>
            <w:tcW w:w="2340" w:type="dxa"/>
          </w:tcPr>
          <w:p>
            <w:pPr>
              <w:spacing w:after="0"/>
            </w:pPr>
            <w:r>
              <w:t xml:space="preserve">15</w:t>
            </w:r>
          </w:p>
        </w:tc>
        <w:tc>
          <w:tcPr>
            <w:tcW w:w="2340" w:type="dxa"/>
          </w:tcPr>
          <w:p>
            <w:pPr>
              <w:spacing w:after="0"/>
            </w:pPr>
            <w:r>
              <w:t xml:space="preserve">14</w:t>
            </w:r>
          </w:p>
        </w:tc>
        <w:tc>
          <w:tcPr>
            <w:tcW w:w="2340" w:type="dxa"/>
          </w:tcPr>
          <w:p>
            <w:pPr>
              <w:spacing w:after="0"/>
            </w:pPr>
            <w:r>
              <w:t xml:space="preserve">Compliance, HR, legal, audit and AI governance readers all have a direct stake</w:t>
            </w:r>
          </w:p>
        </w:tc>
      </w:tr>
      <w:tr>
        <w:tc>
          <w:tcPr>
            <w:tcW w:w="2340" w:type="dxa"/>
          </w:tcPr>
          <w:p>
            <w:pPr>
              <w:spacing w:after="0"/>
            </w:pPr>
            <w:r>
              <w:t xml:space="preserve">Originality</w:t>
            </w:r>
          </w:p>
        </w:tc>
        <w:tc>
          <w:tcPr>
            <w:tcW w:w="2340" w:type="dxa"/>
          </w:tcPr>
          <w:p>
            <w:pPr>
              <w:spacing w:after="0"/>
            </w:pPr>
            <w:r>
              <w:t xml:space="preserve">15</w:t>
            </w:r>
          </w:p>
        </w:tc>
        <w:tc>
          <w:tcPr>
            <w:tcW w:w="2340" w:type="dxa"/>
          </w:tcPr>
          <w:p>
            <w:pPr>
              <w:spacing w:after="0"/>
            </w:pPr>
            <w:r>
              <w:t xml:space="preserve">13</w:t>
            </w:r>
          </w:p>
        </w:tc>
        <w:tc>
          <w:tcPr>
            <w:tcW w:w="2340" w:type="dxa"/>
          </w:tcPr>
          <w:p>
            <w:pPr>
              <w:spacing w:after="0"/>
            </w:pPr>
            <w:r>
              <w:t xml:space="preserve">Decision Reconstruction Risk is a genuinely distinct framing; the aggregate pattern-risk observation is the strongest original passage</w:t>
            </w:r>
          </w:p>
        </w:tc>
      </w:tr>
      <w:tr>
        <w:tc>
          <w:tcPr>
            <w:tcW w:w="2340" w:type="dxa"/>
          </w:tcPr>
          <w:p>
            <w:pPr>
              <w:spacing w:after="0"/>
            </w:pPr>
            <w:r>
              <w:t xml:space="preserve">Legal and regulatory precision</w:t>
            </w:r>
          </w:p>
        </w:tc>
        <w:tc>
          <w:tcPr>
            <w:tcW w:w="2340" w:type="dxa"/>
          </w:tcPr>
          <w:p>
            <w:pPr>
              <w:spacing w:after="0"/>
            </w:pPr>
            <w:r>
              <w:t xml:space="preserve">20</w:t>
            </w:r>
          </w:p>
        </w:tc>
        <w:tc>
          <w:tcPr>
            <w:tcW w:w="2340" w:type="dxa"/>
          </w:tcPr>
          <w:p>
            <w:pPr>
              <w:spacing w:after="0"/>
            </w:pPr>
            <w:r>
              <w:t xml:space="preserve">17</w:t>
            </w:r>
          </w:p>
        </w:tc>
        <w:tc>
          <w:tcPr>
            <w:tcW w:w="2340" w:type="dxa"/>
          </w:tcPr>
          <w:p>
            <w:pPr>
              <w:spacing w:after="0"/>
            </w:pPr>
            <w:r>
              <w:t xml:space="preserve">Materially improved. Capped by the unverified AI Act citation</w:t>
            </w:r>
          </w:p>
        </w:tc>
      </w:tr>
      <w:tr>
        <w:tc>
          <w:tcPr>
            <w:tcW w:w="2340" w:type="dxa"/>
          </w:tcPr>
          <w:p>
            <w:pPr>
              <w:spacing w:after="0"/>
            </w:pPr>
            <w:r>
              <w:t xml:space="preserve">Practical usefulness</w:t>
            </w:r>
          </w:p>
        </w:tc>
        <w:tc>
          <w:tcPr>
            <w:tcW w:w="2340" w:type="dxa"/>
          </w:tcPr>
          <w:p>
            <w:pPr>
              <w:spacing w:after="0"/>
            </w:pPr>
            <w:r>
              <w:t xml:space="preserve">15</w:t>
            </w:r>
          </w:p>
        </w:tc>
        <w:tc>
          <w:tcPr>
            <w:tcW w:w="2340" w:type="dxa"/>
          </w:tcPr>
          <w:p>
            <w:pPr>
              <w:spacing w:after="0"/>
            </w:pPr>
            <w:r>
              <w:t xml:space="preserve">14</w:t>
            </w:r>
          </w:p>
        </w:tc>
        <w:tc>
          <w:tcPr>
            <w:tcW w:w="2340" w:type="dxa"/>
          </w:tcPr>
          <w:p>
            <w:pPr>
              <w:spacing w:after="0"/>
            </w:pPr>
            <w:r>
              <w:t xml:space="preserve">Nine controls plus three review questions, both operational</w:t>
            </w:r>
          </w:p>
        </w:tc>
      </w:tr>
      <w:tr>
        <w:tc>
          <w:tcPr>
            <w:tcW w:w="2340" w:type="dxa"/>
          </w:tcPr>
          <w:p>
            <w:pPr>
              <w:spacing w:after="0"/>
            </w:pPr>
            <w:r>
              <w:t xml:space="preserve">Evidence discipline</w:t>
            </w:r>
          </w:p>
        </w:tc>
        <w:tc>
          <w:tcPr>
            <w:tcW w:w="2340" w:type="dxa"/>
          </w:tcPr>
          <w:p>
            <w:pPr>
              <w:spacing w:after="0"/>
            </w:pPr>
            <w:r>
              <w:t xml:space="preserve">10</w:t>
            </w:r>
          </w:p>
        </w:tc>
        <w:tc>
          <w:tcPr>
            <w:tcW w:w="2340" w:type="dxa"/>
          </w:tcPr>
          <w:p>
            <w:pPr>
              <w:spacing w:after="0"/>
            </w:pPr>
            <w:r>
              <w:t xml:space="preserve">9</w:t>
            </w:r>
          </w:p>
        </w:tc>
        <w:tc>
          <w:tcPr>
            <w:tcW w:w="2340" w:type="dxa"/>
          </w:tcPr>
          <w:p>
            <w:pPr>
              <w:spacing w:after="0"/>
            </w:pPr>
            <w:r>
              <w:t xml:space="preserve">Every statistic removed; nothing asserted that the article cannot support</w:t>
            </w:r>
          </w:p>
        </w:tc>
      </w:tr>
      <w:tr>
        <w:tc>
          <w:tcPr>
            <w:tcW w:w="2340" w:type="dxa"/>
          </w:tcPr>
          <w:p>
            <w:pPr>
              <w:spacing w:after="0"/>
            </w:pPr>
            <w:r>
              <w:t xml:space="preserve">Editorial readability</w:t>
            </w:r>
          </w:p>
        </w:tc>
        <w:tc>
          <w:tcPr>
            <w:tcW w:w="2340" w:type="dxa"/>
          </w:tcPr>
          <w:p>
            <w:pPr>
              <w:spacing w:after="0"/>
            </w:pPr>
            <w:r>
              <w:t xml:space="preserve">10</w:t>
            </w:r>
          </w:p>
        </w:tc>
        <w:tc>
          <w:tcPr>
            <w:tcW w:w="2340" w:type="dxa"/>
          </w:tcPr>
          <w:p>
            <w:pPr>
              <w:spacing w:after="0"/>
            </w:pPr>
            <w:r>
              <w:t xml:space="preserve">8</w:t>
            </w:r>
          </w:p>
        </w:tc>
        <w:tc>
          <w:tcPr>
            <w:tcW w:w="2340" w:type="dxa"/>
          </w:tcPr>
          <w:p>
            <w:pPr>
              <w:spacing w:after="0"/>
            </w:pPr>
            <w:r>
              <w:t xml:space="preserve">Clean and restrained. Slightly over length</w:t>
            </w:r>
          </w:p>
        </w:tc>
      </w:tr>
      <w:tr>
        <w:tc>
          <w:tcPr>
            <w:tcW w:w="2340" w:type="dxa"/>
          </w:tcPr>
          <w:p>
            <w:pPr>
              <w:spacing w:after="0"/>
            </w:pPr>
            <w:r>
              <w:t xml:space="preserve">Neutrality and non-promotional character</w:t>
            </w:r>
          </w:p>
        </w:tc>
        <w:tc>
          <w:tcPr>
            <w:tcW w:w="2340" w:type="dxa"/>
          </w:tcPr>
          <w:p>
            <w:pPr>
              <w:spacing w:after="0"/>
            </w:pPr>
            <w:r>
              <w:t xml:space="preserve">10</w:t>
            </w:r>
          </w:p>
        </w:tc>
        <w:tc>
          <w:tcPr>
            <w:tcW w:w="2340" w:type="dxa"/>
          </w:tcPr>
          <w:p>
            <w:pPr>
              <w:spacing w:after="0"/>
            </w:pPr>
            <w:r>
              <w:t xml:space="preserve">9</w:t>
            </w:r>
          </w:p>
        </w:tc>
        <w:tc>
          <w:tcPr>
            <w:tcW w:w="2340" w:type="dxa"/>
          </w:tcPr>
          <w:p>
            <w:pPr>
              <w:spacing w:after="0"/>
            </w:pPr>
            <w:r>
              <w:t xml:space="preserve">URL, cross-promotion and differentiation claims all removed; interest disclosed three times</w:t>
            </w:r>
          </w:p>
        </w:tc>
      </w:tr>
      <w:tr>
        <w:tc>
          <w:tcPr>
            <w:tcW w:w="2340" w:type="dxa"/>
          </w:tcPr>
          <w:p>
            <w:pPr>
              <w:spacing w:after="0"/>
            </w:pPr>
            <w:r>
              <w:t xml:space="preserve">Author credibility</w:t>
            </w:r>
          </w:p>
        </w:tc>
        <w:tc>
          <w:tcPr>
            <w:tcW w:w="2340" w:type="dxa"/>
          </w:tcPr>
          <w:p>
            <w:pPr>
              <w:spacing w:after="0"/>
            </w:pPr>
            <w:r>
              <w:t xml:space="preserve">5</w:t>
            </w:r>
          </w:p>
        </w:tc>
        <w:tc>
          <w:tcPr>
            <w:tcW w:w="2340" w:type="dxa"/>
          </w:tcPr>
          <w:p>
            <w:pPr>
              <w:spacing w:after="0"/>
            </w:pPr>
            <w:r>
              <w:t xml:space="preserve">5</w:t>
            </w:r>
          </w:p>
        </w:tc>
        <w:tc>
          <w:tcPr>
            <w:tcW w:w="2340" w:type="dxa"/>
          </w:tcPr>
          <w:p>
            <w:pPr>
              <w:spacing w:after="0"/>
            </w:pPr>
            <w:r>
              <w:t xml:space="preserve">ISO/IEC 42001 auditor in Germany and a former Lead Civil Rights Officer is an unusually well-matched pairing for this subject</w:t>
            </w:r>
          </w:p>
        </w:tc>
      </w:tr>
    </w:tbl>
    <w:p>
      <w:pPr/>
      <w:r>
        <w:t/>
      </w:r>
    </w:p>
    <w:p>
      <w:pPr>
        <w:spacing w:after="140"/>
      </w:pPr>
      <w:r>
        <w:rPr>
          <w:b/>
        </w:rPr>
        <w:t xml:space="preserve">Publication Readiness Score: 89 / 100</w:t>
      </w:r>
    </w:p>
    <w:p>
      <w:pPr>
        <w:pStyle w:val="Heading3"/>
        <w:spacing w:after="140"/>
      </w:pPr>
      <w:r>
        <w:t xml:space="preserve">Estimated CCI outcome probabilities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Outcome</w:t>
            </w:r>
          </w:p>
        </w:tc>
        <w:tc>
          <w:tcPr>
            <w:tcW w:w="4680" w:type="dxa"/>
          </w:tcPr>
          <w:p>
            <w:pPr>
              <w:spacing w:after="0"/>
            </w:pPr>
            <w:r>
              <w:t xml:space="preserve">Probability</w:t>
            </w:r>
          </w:p>
        </w:tc>
      </w:tr>
      <w:tr>
        <w:tc>
          <w:tcPr>
            <w:tcW w:w="4680" w:type="dxa"/>
          </w:tcPr>
          <w:p>
            <w:pPr>
              <w:spacing w:after="0"/>
            </w:pPr>
            <w:r>
              <w:t xml:space="preserve">Editorial rejection</w:t>
            </w:r>
          </w:p>
        </w:tc>
        <w:tc>
          <w:tcPr>
            <w:tcW w:w="4680" w:type="dxa"/>
          </w:tcPr>
          <w:p>
            <w:pPr>
              <w:spacing w:after="0"/>
            </w:pPr>
            <w:r>
              <w:rPr>
                <w:b/>
              </w:rPr>
              <w:t xml:space="preserve">10%</w:t>
            </w:r>
          </w:p>
        </w:tc>
      </w:tr>
      <w:tr>
        <w:tc>
          <w:tcPr>
            <w:tcW w:w="4680" w:type="dxa"/>
          </w:tcPr>
          <w:p>
            <w:pPr>
              <w:spacing w:after="0"/>
            </w:pPr>
            <w:r>
              <w:t xml:space="preserve">Revision request before acceptance</w:t>
            </w:r>
          </w:p>
        </w:tc>
        <w:tc>
          <w:tcPr>
            <w:tcW w:w="4680" w:type="dxa"/>
          </w:tcPr>
          <w:p>
            <w:pPr>
              <w:spacing w:after="0"/>
            </w:pPr>
            <w:r>
              <w:rPr>
                <w:b/>
              </w:rPr>
              <w:t xml:space="preserve">35%</w:t>
            </w:r>
          </w:p>
        </w:tc>
      </w:tr>
      <w:tr>
        <w:tc>
          <w:tcPr>
            <w:tcW w:w="4680" w:type="dxa"/>
          </w:tcPr>
          <w:p>
            <w:pPr>
              <w:spacing w:after="0"/>
            </w:pPr>
            <w:r>
              <w:t xml:space="preserve">Acceptance after revision</w:t>
            </w:r>
          </w:p>
        </w:tc>
        <w:tc>
          <w:tcPr>
            <w:tcW w:w="4680" w:type="dxa"/>
          </w:tcPr>
          <w:p>
            <w:pPr>
              <w:spacing w:after="0"/>
            </w:pPr>
            <w:r>
              <w:rPr>
                <w:b/>
              </w:rPr>
              <w:t xml:space="preserve">40%</w:t>
            </w:r>
          </w:p>
        </w:tc>
      </w:tr>
      <w:tr>
        <w:tc>
          <w:tcPr>
            <w:tcW w:w="4680" w:type="dxa"/>
          </w:tcPr>
          <w:p>
            <w:pPr>
              <w:spacing w:after="0"/>
            </w:pPr>
            <w:r>
              <w:t xml:space="preserve">Acceptance without further revision</w:t>
            </w:r>
          </w:p>
        </w:tc>
        <w:tc>
          <w:tcPr>
            <w:tcW w:w="4680" w:type="dxa"/>
          </w:tcPr>
          <w:p>
            <w:pPr>
              <w:spacing w:after="0"/>
            </w:pPr>
            <w:r>
              <w:rPr>
                <w:b/>
              </w:rPr>
              <w:t xml:space="preserve">15%</w:t>
            </w:r>
          </w:p>
        </w:tc>
      </w:tr>
    </w:tbl>
    <w:p>
      <w:pPr/>
      <w:r>
        <w:t/>
      </w:r>
    </w:p>
    <w:p>
      <w:pPr>
        <w:spacing w:after="140"/>
      </w:pPr>
      <w:r>
        <w:t xml:space="preserve">These are candid rather than encouraging. The 35% revision-request figure reflects that CCI edits most submissions for house style regardless of quality, and that a legally dense piece with eight embedded links usually draws at least one editorial query.</w:t>
      </w:r>
    </w:p>
    <w:p>
      <w:pPr>
        <w:pStyle w:val="Heading3"/>
        <w:spacing w:after="140"/>
      </w:pPr>
      <w:r>
        <w:t xml:space="preserve">Remaining editorial risks</w:t>
      </w:r>
    </w:p>
    <w:p>
      <w:pPr>
        <w:numPr>
          <w:ilvl w:val="0"/>
          <w:numId w:val="2"/>
        </w:numPr>
        <w:spacing w:after="60"/>
      </w:pPr>
      <w:r>
        <w:t xml:space="preserve">The unverified AI Act citation, which is the only item that could fail a fact-check.</w:t>
      </w:r>
    </w:p>
    <w:p>
      <w:pPr>
        <w:numPr>
          <w:ilvl w:val="0"/>
          <w:numId w:val="2"/>
        </w:numPr>
        <w:spacing w:after="60"/>
      </w:pPr>
      <w:r>
        <w:t xml:space="preserve">Length, at 6.5 percent over the stated target.</w:t>
      </w:r>
    </w:p>
    <w:p>
      <w:pPr>
        <w:numPr>
          <w:ilvl w:val="0"/>
          <w:numId w:val="2"/>
        </w:numPr>
        <w:spacing w:after="60"/>
      </w:pPr>
      <w:r>
        <w:t xml:space="preserve">Section V is the densest passage in the article and carries the most qualification per sentence; an editor optimising for readability may push back on it.</w:t>
      </w:r>
    </w:p>
    <w:p>
      <w:pPr>
        <w:pStyle w:val="Heading3"/>
        <w:spacing w:after="140"/>
      </w:pPr>
      <w:r>
        <w:t xml:space="preserve">Three highest-priority corrections</w:t>
      </w:r>
    </w:p>
    <w:p>
      <w:pPr>
        <w:numPr>
          <w:ilvl w:val="0"/>
          <w:numId w:val="2"/>
        </w:numPr>
        <w:spacing w:after="60"/>
      </w:pPr>
      <w:r>
        <w:rPr>
          <w:b/>
        </w:rPr>
        <w:t xml:space="preserve">Verify Regulation (EU) 2026/1744 and both application dates against the Official Journal.</w:t>
      </w:r>
      <w:r>
        <w:t xml:space="preserve"> If the postponement cannot be confirmed, the two dated sentences should come out and the surrounding argument still stands, because it does not depend on them.</w:t>
      </w:r>
    </w:p>
    <w:p>
      <w:pPr>
        <w:numPr>
          <w:ilvl w:val="0"/>
          <w:numId w:val="2"/>
        </w:numPr>
        <w:spacing w:after="60"/>
      </w:pPr>
      <w:r>
        <w:rPr>
          <w:b/>
        </w:rPr>
        <w:t xml:space="preserve">Click-test all eight hyperlinks.</w:t>
      </w:r>
    </w:p>
    <w:p>
      <w:pPr>
        <w:numPr>
          <w:ilvl w:val="0"/>
          <w:numId w:val="2"/>
        </w:numPr>
        <w:spacing w:after="60"/>
      </w:pPr>
      <w:r>
        <w:rPr>
          <w:b/>
        </w:rPr>
        <w:t xml:space="preserve">Decide whether Section V's third paragraph can lose the ISO/IEC 42001 and DORA sentence entirely.</w:t>
      </w:r>
      <w:r>
        <w:t xml:space="preserve"> It is the least load-bearing passage in the article, and removing it would bring the piece to roughly 1,700 words while costing nothing structural.</w:t>
      </w:r>
    </w:p>
    <w:p>
      <w:pPr>
        <w:pStyle w:val="Heading3"/>
        <w:spacing w:after="140"/>
      </w:pPr>
      <w:r>
        <w:t xml:space="preserve">Verdict</w:t>
      </w:r>
    </w:p>
    <w:p>
      <w:pPr>
        <w:pStyle w:val="Heading1"/>
        <w:spacing w:after="140"/>
      </w:pPr>
      <w:r>
        <w:t xml:space="preserve">READY TO SUBMIT WITH MINOR CORRECTIONS</w:t>
      </w:r>
    </w:p>
    <w:p>
      <w:pPr>
        <w:spacing w:after="140"/>
      </w:pPr>
      <w:r>
        <w:t xml:space="preserve">The corrections are verification tasks, not writing tasks. No further revision round is recommended, and none is needed. The article now reads as an independent compliance analysis in which JRS is an illustration rather than the reason the piece exists, which was the controlling objective.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