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pPr>
        <w:spacing w:after="140"/>
      </w:pPr>
      <w:r>
        <w:t xml:space="preserve">[Author names and affiliations removed for anonymous review]</w:t>
      </w:r>
    </w:p>
    <w:p>
      <w:pPr>
        <w:spacing w:after="140"/>
      </w:pPr>
      <w:r>
        <w:t xml:space="preserve">Author contributions. The first author designed the public-records case protocol, selected and screened all 32 publicly available determinations, recorded the read and its contemporaneous basis note for each case blind to the documented outcome, recorded the outcomes and citations, and leads the public-records framing. The second author developed the review protocol and the reconstruction-risk construct, designed the pilot, ran the analyses, and co-wrote the manuscript.</w:t>
      </w:r>
    </w:p>
    <w:p>
      <w:pPr>
        <w:spacing w:after="140"/>
      </w:pPr>
      <w:r>
        <w:t xml:space="preserve">Disclosure. Both authors contributed to this work in their personal professional capacities. One author conducted this research voluntarily and independently, using publicly available materials and without institutional affiliation. The research does not represent the views, positions, policies, or practices of any employer or government entity. No internal, confidential, privileged, or otherwise nonpublic government materials were used. No funding was received for this work.</w:t>
      </w:r>
    </w:p>
    <w:p>
      <w:pPr>
        <w:spacing w:after="140"/>
      </w:pPr>
      <w:r>
        <w:t xml:space="preserve">Competing interests. One author developed the review protocol examined in this study and has a continuing professional interest in it. The study design places the protocol against independent government audit findings and an independent blind second read. The other author declares no competing interests.</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rPr>
          <w:b/>
        </w:rPr>
        <w:t xml:space="preserve">Purpose.</w:t>
      </w:r>
      <w:r>
        <w:t xml:space="preserv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rPr>
          <w:b/>
        </w:rPr>
        <w:t xml:space="preserve">Design/methodology/approach.</w:t>
      </w:r>
      <w:r>
        <w:t xml:space="preserve">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rPr>
          <w:b/>
        </w:rPr>
        <w:t xml:space="preserve">Findings.</w:t>
      </w:r>
      <w:r>
        <w:t xml:space="preserve">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rPr>
          <w:b/>
        </w:rPr>
        <w:t xml:space="preserve">Research limitations/implications.</w:t>
      </w:r>
      <w:r>
        <w:t xml:space="preserve"> The corpus is small, non-random and limited to two jurisdictions. Reliability evidence is preliminary because only 10 cases received an independent blind re-read.</w:t>
      </w:r>
    </w:p>
    <w:p>
      <w:pPr>
        <w:spacing w:after="140"/>
      </w:pPr>
      <w:r>
        <w:rPr>
          <w:b/>
        </w:rPr>
        <w:t xml:space="preserve">Practical implications.</w:t>
      </w:r>
      <w:r>
        <w:t xml:space="preserve">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rPr>
          <w:b/>
        </w:rPr>
        <w:t xml:space="preserve">Originality/value.</w:t>
      </w:r>
      <w:r>
        <w:t xml:space="preserv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can be supplied to the editorial office on request.</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Records and information governance already has a vocabulary for the qualities a record must hold. ISO 15489-1:2016 requires that a record be authentic, reliable, have integrity and be usable, and Duranti (1995) sets out reliability and authenticity as distinct properties, the first concerning the record's capacity to stand for the facts it asserts and the second its identity and freedom from alteration. Yeo (2007) characterises records as persistent representations of activities, which locates their value in what they allow a later party to understand rather than in their survival alone. Reconstructability sits alongside these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spacing w:after="140"/>
      </w:pPr>
      <w:r>
        <w:t xml:space="preserve">Work on measuring these qualities exists. Duranti and Makhlouf Shabou (2015) develop a model and instruments for defining and measuring quality dimensions of public electronic records, and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The protocol is named and described in full in the non-anonymous version of this manuscript. Five conditions carry that question. Reconstructability, whether the conclusion can be rebuilt from the record alone. Basis identification, whether the source of each characterisation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Internal classification coherence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between the two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 Figure 1 summarises the corpus and the three-level read.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analysed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and the same reviewer assigned the classification and wrote the note it codes, so this result is evidence that the classifications and their recorded reasons cohere rather than independent construct validation. The contemporaneous notes are what make that coherence checkable by anyone re-reading the case set. The structural comparison in Section 6.4 and the audit concordance in Section 6.2 do not depend on the reviewer's explanatory language and carry the externally meaningful evidence.</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summarise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differentiated sources by a structural feature that does not depend on the reviewer's own explanatory language. The coding of contemporaneous basis notes adds that the classifications cohere with their recorded reasons; the audit concordance and the structural comparison are the evidence that does not rest on the reviewer's own account.</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modernisation, sample their own determinations for reconstructability, catching the case where better tooling produces fluent but unreconstructable records.</w:t>
      </w:r>
    </w:p>
    <w:p>
      <w:pPr>
        <w:spacing w:after="140"/>
      </w:pPr>
      <w:r>
        <w:t xml:space="preserve">For public-records programmes,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rPr>
          <w:b/>
        </w:rPr>
        <w:t xml:space="preserve">Pre-finalisation quality assurance.</w:t>
      </w:r>
      <w:r>
        <w:t xml:space="preserv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finalised: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rPr>
          <w:b/>
        </w:rPr>
        <w:t xml:space="preserve">Retrospective review.</w:t>
      </w:r>
      <w:r>
        <w:t xml:space="preserve"> Records functions can use reconstructability review to examine consequential records already in the system, particularly where audit, appeal or regulatory exposure makes later explanation likely.</w:t>
      </w:r>
    </w:p>
    <w:p>
      <w:pPr>
        <w:spacing w:after="140"/>
      </w:pPr>
      <w:r>
        <w:rPr>
          <w:b/>
        </w:rPr>
        <w:t xml:space="preserve">Audit sampling.</w:t>
      </w:r>
      <w:r>
        <w:t xml:space="preserve">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The same reviewer assigned the classification and wrote the note that the coding then reads, so an association between them is not independent construct validation and is reported as evidence of internal coherence. The structural comparison and the audit concordance do not share that dependence.</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pPr>
        <w:spacing w:after="140"/>
      </w:pPr>
      <w:r>
        <w:t xml:space="preserve">The corpus is two states, New York and Connecticut. Generalisation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organisations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organisation acted?</w:t>
      </w:r>
    </w:p>
    <w:p w14:paraId="762EB877" w14:textId="77777777" w:rsidR="0019445B" w:rsidRDefault="00000000">
      <w:pPr>
        <w:pStyle w:val="Heading2"/>
        <w:spacing w:after="140"/>
      </w:pPr>
      <w:r>
        <w:t>References</w:t>
      </w:r>
    </w:p>
    <w:p>
      <w:pPr>
        <w:spacing w:after="140"/>
      </w:pPr>
      <w:r>
        <w:t xml:space="preserve">Chief FOIA Officers Council. (2026, May 28). </w:t>
      </w:r>
      <w:r>
        <w:rPr>
          <w:i/>
        </w:rPr>
        <w:t xml:space="preserve">Memorandum: data collection and volunteers</w:t>
      </w:r>
      <w:r>
        <w:t xml:space="preserve"> [Government-wide FOIA technology inventory initiative]. United States Department of Justice.</w:t>
      </w:r>
    </w:p>
    <w:p>
      <w:pPr>
        <w:spacing w:after="140"/>
      </w:pPr>
      <w:r>
        <w:t xml:space="preserve">Duranti, L. (1995). Reliability and authenticity: The concepts and their implications. </w:t>
      </w:r>
      <w:r>
        <w:rPr>
          <w:i/>
        </w:rPr>
        <w:t xml:space="preserve">Archivaria, 39</w:t>
      </w:r>
      <w:r>
        <w:t xml:space="preserve">, 5-10.</w:t>
      </w:r>
    </w:p>
    <w:p>
      <w:pPr>
        <w:spacing w:after="140"/>
      </w:pPr>
      <w:r>
        <w:t xml:space="preserve">Duranti, L., &amp; Makhlouf Shabou, B. (2015). Digital diplomatics and measurement of electronic public data qualities: What lessons should be learned? </w:t>
      </w:r>
      <w:r>
        <w:rPr>
          <w:i/>
        </w:rPr>
        <w:t xml:space="preserve">Records Management Journal, 25</w:t>
      </w:r>
      <w:r>
        <w:t xml:space="preserve">(1), 56-77. https://doi.org/10.1108/RMJ-01-2015-0006</w:t>
      </w:r>
    </w:p>
    <w:p>
      <w:pPr>
        <w:spacing w:after="140"/>
      </w:pPr>
      <w:r>
        <w:t xml:space="preserve">Farrell, M. (2024). Accountability as a mechanism and a virtue in Irish public sector recordkeeping. </w:t>
      </w:r>
      <w:r>
        <w:rPr>
          <w:i/>
        </w:rPr>
        <w:t xml:space="preserve">Records Management Journal, 34</w:t>
      </w:r>
      <w:r>
        <w:t xml:space="preserve">(2-3), 190-204. https://doi.org/10.1108/RMJ-09-2023-0051</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40"/>
      </w:pPr>
      <w:r>
        <w:t xml:space="preserve">International Organization for Standardization. (2016). </w:t>
      </w:r>
      <w:r>
        <w:rPr>
          <w:i/>
        </w:rPr>
        <w:t xml:space="preserve">ISO 15489-1:2016. Information and documentation - Records management - Part 1: Concepts and principles.</w:t>
      </w:r>
    </w:p>
    <w:p>
      <w:pPr>
        <w:spacing w:after="140"/>
      </w:pPr>
      <w:r>
        <w:t xml:space="preserve">Yeo, G. (2007). Concepts of record (1): Evidence, information, and persistent representations. </w:t>
      </w:r>
      <w:r>
        <w:rPr>
          <w:i/>
        </w:rPr>
        <w:t xml:space="preserve">The American Archivist, 70</w:t>
      </w:r>
      <w:r>
        <w:t xml:space="preserve">(2), 315-343.</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coreProperties>
</file>