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
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40"/>
      </w:pPr>
      <w:r>
        <w:t xml:space="preserve">JRS Reviewer Training and Certificate: programme summary</w:t>
      </w:r>
    </w:p>
    <w:p>
      <w:pPr>
        <w:spacing w:after="140"/>
      </w:pPr>
      <w:r>
        <w:rPr>
          <w:b/>
        </w:rPr>
        <w:t xml:space="preserve">2026-08-09. Live at https://jrsstandard.com/reviewer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What it is</w:t>
      </w:r>
    </w:p>
    <w:p>
      <w:pPr>
        <w:spacing w:after="140"/>
      </w:pPr>
      <w:r>
        <w:t xml:space="preserve">A free, six-module self-paced training in the five JRS review conditions, ending in an anonymized reviewer evaluation and a certificate. It is an open educational standard, not a licence or an accreditation, and the pages say so in those words.</w:t>
      </w:r>
    </w:p>
    <w:p>
      <w:pPr>
        <w:pStyle w:val="Heading2"/>
        <w:spacing w:after="140"/>
      </w:pPr>
      <w:r>
        <w:t xml:space="preserve">The five-step pathway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Step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What happens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What is asked for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Read Module 1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Nothing. No email, no account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Register to unlock modules 2 to 6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Name and work email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Work the six modules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Progress saves in the browser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4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Submit the reviewer evaluation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Nine questions, about four minutes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Collect the certificate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Optional. Name and title as they should print</w:t>
            </w:r>
          </w:p>
        </w:tc>
      </w:tr>
    </w:tbl>
    <w:p>
      <w:pPr/>
      <w:r>
        <w:t/>
      </w:r>
    </w:p>
    <w:p>
      <w:pPr>
        <w:pStyle w:val="Heading2"/>
        <w:spacing w:after="140"/>
      </w:pPr>
      <w:r>
        <w:t xml:space="preserve">The six modules</w:t>
      </w:r>
    </w:p>
    <w:p>
      <w:pPr>
        <w:spacing w:after="140"/>
      </w:pPr>
      <w:r>
        <w:t xml:space="preserve">These are the modules that exist in the live training, not a rewritten set.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JRS Review Conditions.</w:t>
      </w:r>
      <w:r>
        <w:t xml:space="preserve"> The five conditions themselves and what a failure looks like.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Common Documentation Conditions.</w:t>
      </w:r>
      <w:r>
        <w:t xml:space="preserve"> Patterns that recur across real records.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Secondary Review and Escalation.</w:t>
      </w:r>
      <w:r>
        <w:t xml:space="preserve"> What a second reviewer needs from a file.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AI-Assisted Record Review.</w:t>
      </w:r>
      <w:r>
        <w:t xml:space="preserve"> Reviewing records a model helped draft.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Investigation Review.</w:t>
      </w:r>
      <w:r>
        <w:t xml:space="preserve"> Applying the conditions to investigative files.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Implementation Sequence.</w:t>
      </w:r>
      <w:r>
        <w:t xml:space="preserve"> Putting pre-finalization review into an existing workflow.</w:t>
      </w:r>
    </w:p>
    <w:p>
      <w:pPr>
        <w:spacing w:after="140"/>
      </w:pPr>
      <w:r>
        <w:t xml:space="preserve">The companion desk reference is the Rapid Review Card, free and ungated at </w:t>
      </w:r>
      <w:r>
        <w:rPr>
          <w:rFonts w:ascii="Consolas" w:hAnsi="Consolas"/>
        </w:rPr>
        <w:t xml:space="preserve">/api/dl?e=card</w:t>
      </w:r>
      <w:r>
        <w:t xml:space="preserve">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The evaluation, and why it is the part that matters commercially</w:t>
      </w:r>
    </w:p>
    <w:p>
      <w:pPr>
        <w:spacing w:after="140"/>
      </w:pPr>
      <w:r>
        <w:t xml:space="preserve">The programme can already state how consistently the five conditions are applied under study conditions: 83.9% detection accuracy against a verified key, Gwet's AC1 0.739 among experts, 86.7% cross-vendor agreement. What it cannot yet state is what record review looks like </w:t>
      </w:r>
      <w:r>
        <w:rPr>
          <w:b/>
        </w:rPr>
        <w:t xml:space="preserve">inside working organizations</w:t>
      </w:r>
      <w:r>
        <w:t xml:space="preserve">, and no amount of further accuracy testing produces that. The evaluation does.</w:t>
      </w:r>
    </w:p>
    <w:p>
      <w:pPr>
        <w:spacing w:after="140"/>
      </w:pPr>
      <w:r>
        <w:rPr>
          <w:b/>
        </w:rPr>
        <w:t xml:space="preserve">The nine questions.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#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Question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How many people read a consequential record before it is finalized?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Is there a formal second reader before finalization?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How often is a record returned to its drafter because the basis is missing or unclear?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4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When a conclusion is reached, is the basis recorded in the file at the time?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Is AI-assisted drafting used on records?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6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Is there a written policy covering it?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7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If a record from two years ago were questioned today, how confident are you the file alone would explain the decision?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8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Has documentation quality ever been audited or sampled?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9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How useful would a pre-finalization review of the five conditions be in your workflow? (1 to 5)</w:t>
            </w:r>
          </w:p>
        </w:tc>
      </w:tr>
    </w:tbl>
    <w:p>
      <w:pPr/>
      <w:r>
        <w:t/>
      </w:r>
    </w:p>
    <w:p>
      <w:pPr>
        <w:spacing w:after="140"/>
      </w:pPr>
      <w:r>
        <w:t xml:space="preserve">Context captured alongside: function, sector, and a coarse organization size. All three optional, none of them identifying an employer.</w:t>
      </w:r>
    </w:p>
    <w:p>
      <w:pPr>
        <w:spacing w:after="140"/>
      </w:pPr>
      <w:r>
        <w:rPr>
          <w:b/>
        </w:rPr>
        <w:t xml:space="preserve">Why this is the asset piece.</w:t>
      </w:r>
      <w:r>
        <w:t xml:space="preserve"> Questions 1, 2, 3 and 8 measure whether the control this standard describes exists anywhere today. Questions 5 and 6 measure how fast the problem is arriving. Question 9 is a stated demand signal from named professional functions. A buyer can price a market they can see the shape of; they cannot price an assertion.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Two unlinked rows: the design decision the whole instrument rests on</w:t>
      </w:r>
    </w:p>
    <w:p>
      <w:pPr>
        <w:spacing w:after="140"/>
      </w:pPr>
      <w:r>
        <w:t xml:space="preserve">Every submission writes </w:t>
      </w:r>
      <w:r>
        <w:rPr>
          <w:b/>
        </w:rPr>
        <w:t xml:space="preserve">two separate records that share nothing linking them</w:t>
      </w:r>
      <w:r>
        <w:t xml:space="preserve">.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>
              <w:spacing w:after="0"/>
            </w:pPr>
            <w:r>
              <w:t xml:space="preserve">Row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Table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Contains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Does not contain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Evaluation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interaction_events</w:t>
            </w:r>
            <w:r>
              <w:t xml:space="preserve">, source </w:t>
            </w:r>
            <w:r>
              <w:rPr>
                <w:rFonts w:ascii="Consolas" w:hAnsi="Consolas"/>
              </w:rPr>
              <w:t xml:space="preserve">reviewer-eval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Answers, sector, coarse org size, country code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Any name, email, employer, or free text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Certificate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pilot_contacts</w:t>
            </w:r>
            <w:r>
              <w:t xml:space="preserve">, source </w:t>
            </w:r>
            <w:r>
              <w:rPr>
                <w:rFonts w:ascii="Consolas" w:hAnsi="Consolas"/>
              </w:rPr>
              <w:t xml:space="preserve">reviewer-cert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Name, email, printed title, completion code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Any answer</w:t>
            </w:r>
          </w:p>
        </w:tc>
      </w:tr>
    </w:tbl>
    <w:p>
      <w:pPr/>
      <w:r>
        <w:t/>
      </w:r>
    </w:p>
    <w:p>
      <w:pPr>
        <w:spacing w:after="140"/>
      </w:pPr>
      <w:r>
        <w:t xml:space="preserve">This is what lets question 2 ask a compliance officer whether their own employer has no second reader and get a truthful answer. If the two rows were joined, every answer would be a statement attributable to a named person about their employer's weaknesses, and the honest answer rate would collapse.</w:t>
      </w:r>
    </w:p>
    <w:p>
      <w:pPr>
        <w:spacing w:after="140"/>
      </w:pPr>
      <w:r>
        <w:t xml:space="preserve">It also means the consent ticks are separate: one for research use of the anonymous answers, a different one for contact.</w:t>
      </w:r>
    </w:p>
    <w:p>
      <w:pPr>
        <w:spacing w:after="140"/>
      </w:pPr>
      <w:r>
        <w:t xml:space="preserve">Answer options are validated server-side against the question set, so a hand-crafted POST cannot inject free text into the research record.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Documentation: who is recorded, and how</w:t>
      </w:r>
    </w:p>
    <w:p>
      <w:pPr>
        <w:spacing w:after="140"/>
      </w:pPr>
      <w:r>
        <w:rPr>
          <w:b/>
        </w:rPr>
        <w:t xml:space="preserve">Yes, participants are documented, in three separate places with different purposes.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>
              <w:spacing w:after="0"/>
            </w:pPr>
            <w:r>
              <w:t xml:space="preserve">Record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Where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Identifiable?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Purpose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Enrolment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pilot_contacts</w:t>
            </w:r>
            <w:r>
              <w:t xml:space="preserve">, source </w:t>
            </w:r>
            <w:r>
              <w:rPr>
                <w:rFonts w:ascii="Consolas" w:hAnsi="Consolas"/>
              </w:rPr>
              <w:t xml:space="preserve">training-enroll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Yes: name, work email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Contact, and the record that they registered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Evaluation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interaction_events</w:t>
            </w:r>
            <w:r>
              <w:t xml:space="preserve">, source </w:t>
            </w:r>
            <w:r>
              <w:rPr>
                <w:rFonts w:ascii="Consolas" w:hAnsi="Consolas"/>
              </w:rPr>
              <w:t xml:space="preserve">reviewer-eval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b/>
              </w:rPr>
              <w:t xml:space="preserve">No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The anonymized research baseline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Certificate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pilot_contacts</w:t>
            </w:r>
            <w:r>
              <w:t xml:space="preserve">, source </w:t>
            </w:r>
            <w:r>
              <w:rPr>
                <w:rFonts w:ascii="Consolas" w:hAnsi="Consolas"/>
              </w:rPr>
              <w:t xml:space="preserve">reviewer-cert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Yes: name, printed title, completion code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Proof of completion, reissue if lost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Certificate collected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interaction_events</w:t>
            </w:r>
            <w:r>
              <w:t xml:space="preserve">, source </w:t>
            </w:r>
            <w:r>
              <w:rPr>
                <w:rFonts w:ascii="Consolas" w:hAnsi="Consolas"/>
              </w:rPr>
              <w:t xml:space="preserve">reviewer-cert-render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Code only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Engagement signal: who came back for the artifact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Public listing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Only if separately ticked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Yes, name and organization only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The public reviewer list</w:t>
            </w:r>
          </w:p>
        </w:tc>
      </w:tr>
    </w:tbl>
    <w:p>
      <w:pPr/>
      <w:r>
        <w:t/>
      </w:r>
    </w:p>
    <w:p>
      <w:pPr>
        <w:spacing w:after="140"/>
      </w:pPr>
      <w:r>
        <w:rPr>
          <w:rFonts w:ascii="Consolas" w:hAnsi="Consolas"/>
        </w:rPr>
        <w:t xml:space="preserve">pilot_contacts</w:t>
      </w:r>
      <w:r>
        <w:t xml:space="preserve"> has row-level security on with no anonymous read. Nothing in it is reachable from the public site. Aggregates only are exposed, through </w:t>
      </w:r>
      <w:r>
        <w:rPr>
          <w:rFonts w:ascii="Consolas" w:hAnsi="Consolas"/>
        </w:rPr>
        <w:t xml:space="preserve">/api/asset-stats</w:t>
      </w:r>
      <w:r>
        <w:t xml:space="preserve"> and the other stats endpoints.</w:t>
      </w:r>
    </w:p>
    <w:p>
      <w:pPr>
        <w:spacing w:after="140"/>
      </w:pPr>
      <w:r>
        <w:t xml:space="preserve">Consent on the certificate row covers contact, secure storage, and transfer with the project if the JRS assets are transferred to a successor. That third element is what makes the contact record part of the asset rather than a list that dies with the seller. It is disclosed in the registration terms behind the tick, and public listing is a separate optional choice.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The training link is unchanged</w:t>
      </w:r>
    </w:p>
    <w:p>
      <w:pPr>
        <w:spacing w:after="140"/>
      </w:pPr>
      <w:r>
        <w:rPr>
          <w:b/>
        </w:rPr>
        <w:t xml:space="preserve">Yes, it is the same free training.</w:t>
      </w:r>
      <w:r>
        <w:t xml:space="preserve"> Nothing about the existing six-module course changed.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Route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Goes to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Status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/reviewer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The new landing page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New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/train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training.html?access=reviewer&amp;focus=1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Unchanged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/training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training.html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Unchanged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Landing page CTA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training.html?access=reviewer&amp;focus=1&amp;src=reviewer-landing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Same page, now tagged</w:t>
            </w:r>
          </w:p>
        </w:tc>
      </w:tr>
    </w:tbl>
    <w:p>
      <w:pPr/>
      <w:r>
        <w:t/>
      </w:r>
    </w:p>
    <w:p>
      <w:pPr>
        <w:spacing w:after="140"/>
      </w:pPr>
      <w:r>
        <w:t xml:space="preserve">The 7 existing enrolments and 4 recorded completions are untouched, and browser progress under </w:t>
      </w:r>
      <w:r>
        <w:rPr>
          <w:rFonts w:ascii="Consolas" w:hAnsi="Consolas"/>
        </w:rPr>
        <w:t xml:space="preserve">jrs-training-progress</w:t>
      </w:r>
      <w:r>
        <w:t xml:space="preserve"> still resumes. The only change is that </w:t>
      </w:r>
      <w:r>
        <w:rPr>
          <w:rFonts w:ascii="Consolas" w:hAnsi="Consolas"/>
        </w:rPr>
        <w:t xml:space="preserve">/reviewer</w:t>
      </w:r>
      <w:r>
        <w:t xml:space="preserve"> now opens a landing page that explains the programme first, instead of dropping a visitor straight into the training with no context, and its CTA carries a source tag so the landing page's contribution is measurable.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Operability: verified end to end on production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Step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Result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Landing page loads, links to the real training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200, correct module names, correct CTA target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Evaluation instrument loads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9 questions, 11 sectors, 6 sizes, 9 roles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Full nine-answer submission with certificate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answered 9/9</w:t>
            </w:r>
            <w:r>
              <w:t xml:space="preserve">, completion code issued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Certificate renders from that code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200, correct name, title and code printed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Malformed code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400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/train</w:t>
            </w:r>
            <w:r>
              <w:t xml:space="preserve"> and </w:t>
            </w:r>
            <w:r>
              <w:rPr>
                <w:rFonts w:ascii="Consolas" w:hAnsi="Consolas"/>
              </w:rPr>
              <w:t xml:space="preserve">/training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200, unchanged</w:t>
            </w:r>
          </w:p>
        </w:tc>
      </w:tr>
    </w:tbl>
    <w:p>
      <w:pPr/>
      <w:r>
        <w:t/>
      </w:r>
    </w:p>
    <w:p>
      <w:pPr>
        <w:spacing w:after="140"/>
      </w:pPr>
      <w:r>
        <w:t xml:space="preserve">All seven routes return 200: </w:t>
      </w:r>
      <w:r>
        <w:rPr>
          <w:rFonts w:ascii="Consolas" w:hAnsi="Consolas"/>
        </w:rPr>
        <w:t xml:space="preserve">/reviewer</w:t>
      </w:r>
      <w:r>
        <w:t xml:space="preserve">, </w:t>
      </w:r>
      <w:r>
        <w:rPr>
          <w:rFonts w:ascii="Consolas" w:hAnsi="Consolas"/>
        </w:rPr>
        <w:t xml:space="preserve">/reviewer/</w:t>
      </w:r>
      <w:r>
        <w:t xml:space="preserve">, </w:t>
      </w:r>
      <w:r>
        <w:rPr>
          <w:rFonts w:ascii="Consolas" w:hAnsi="Consolas"/>
        </w:rPr>
        <w:t xml:space="preserve">/reviewer/index.html</w:t>
      </w:r>
      <w:r>
        <w:t xml:space="preserve">, </w:t>
      </w:r>
      <w:r>
        <w:rPr>
          <w:rFonts w:ascii="Consolas" w:hAnsi="Consolas"/>
        </w:rPr>
        <w:t xml:space="preserve">/reviewer/evaluation.html</w:t>
      </w:r>
      <w:r>
        <w:t xml:space="preserve">, </w:t>
      </w:r>
      <w:r>
        <w:rPr>
          <w:rFonts w:ascii="Consolas" w:hAnsi="Consolas"/>
        </w:rPr>
        <w:t xml:space="preserve">/reviewer/completion.html</w:t>
      </w:r>
      <w:r>
        <w:t xml:space="preserve">, </w:t>
      </w:r>
      <w:r>
        <w:rPr>
          <w:rFonts w:ascii="Consolas" w:hAnsi="Consolas"/>
        </w:rPr>
        <w:t xml:space="preserve">/evaluation</w:t>
      </w:r>
      <w:r>
        <w:t xml:space="preserve">, </w:t>
      </w:r>
      <w:r>
        <w:rPr>
          <w:rFonts w:ascii="Consolas" w:hAnsi="Consolas"/>
        </w:rPr>
        <w:t xml:space="preserve">/completion</w:t>
      </w:r>
      <w:r>
        <w:t xml:space="preserve">.</w:t>
      </w:r>
    </w:p>
    <w:p>
      <w:pPr>
        <w:spacing w:after="140"/>
      </w:pPr>
      <w:r>
        <w:rPr>
          <w:b/>
        </w:rPr>
        <w:t xml:space="preserve">One defect found during that test and fixed.</w:t>
      </w:r>
      <w:r>
        <w:t xml:space="preserve"> The evaluation endpoint had no deploy-check guard, so verifying it wrote a fabricated row into the research baseline: the one table in the programme that must contain only real answers. A guard now validates the whole path and writes nothing when a test tag is present, and the row that landed before the guard deployed has been purged. The baseline reads zero rows.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LinkedIn, described accurately</w:t>
      </w:r>
    </w:p>
    <w:p>
      <w:pPr>
        <w:spacing w:after="140"/>
      </w:pPr>
      <w:r>
        <w:t xml:space="preserve">The completion page opens LinkedIn's own </w:t>
      </w:r>
      <w:r>
        <w:rPr>
          <w:b/>
        </w:rPr>
        <w:t xml:space="preserve">Add to profile</w:t>
      </w:r>
      <w:r>
        <w:t xml:space="preserve"> flow, prefilled with certification name, issuing organization, issue month and year, credential ID and credential URL. That creates a Licenses and Certifications entry.</w:t>
      </w:r>
    </w:p>
    <w:p>
      <w:pPr>
        <w:spacing w:after="140"/>
      </w:pPr>
      <w:r>
        <w:t xml:space="preserve">It does </w:t>
      </w:r>
      <w:r>
        <w:rPr>
          <w:b/>
        </w:rPr>
        <w:t xml:space="preserve">not</w:t>
      </w:r>
      <w:r>
        <w:t xml:space="preserve"> verify a credential and does </w:t>
      </w:r>
      <w:r>
        <w:rPr>
          <w:b/>
        </w:rPr>
        <w:t xml:space="preserve">not</w:t>
      </w:r>
      <w:r>
        <w:t xml:space="preserve"> endorse a skill, because LinkedIn exposes no interface by which a third party can do either. The page offers a copyable post and a copyable skills list the holder adds themselves, labelled as such.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Open items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Nobody has taken the evaluation yet.</w:t>
      </w:r>
      <w:r>
        <w:t xml:space="preserve"> The baseline is empty by construction; the instrument shipped today.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The certificate is issued on a completion code checked for shape, not looked up.</w:t>
      </w:r>
      <w:r>
        <w:t xml:space="preserve"> A certificate grants access to nothing, so protecting it like a credential would add friction without protecting anything. The verifiable record is the database row. If that ever needs to change, the row already exists to check against.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Sample size.</w:t>
      </w:r>
      <w:r>
        <w:t xml:space="preserve"> The commercial value of the evaluation is a function of how many are collected. One is an anecdote. Fifty is a market description.</w:t>
      </w:r>
    </w:p>
    <w:sectPr>
      <w:pgSz w:w="12240" w:h="15840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720" w:hanging="360"/>
      </w:pPr>
    </w:lvl>
  </w:abstractNum>
  <w:abstractNum w:abstractNumId="1">
    <w:lvl w:ilvl="0">
      <w:start w:val="1"/>
      <w:numFmt w:val="decimal"/>
      <w:lvlText w:val="%1."/>
      <w:pPr>
        <w:ind w:left="72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paragraph" w:styleId="Normal" w:default="1">
    <w:name w:val="Normal"/>
  </w:style>
  <w:style w:type="paragraph" w:styleId="Heading1">
    <w:name w:val="heading 1"/>
    <w:basedOn w:val="Normal"/>
    <w:pPr>
      <w:outlineLvl w:val="0"/>
      <w:spacing w:before="240" w:after="120"/>
    </w:pPr>
    <w:rPr>
      <w:b/>
      <w:sz w:val="36"/>
    </w:rPr>
  </w:style>
  <w:style w:type="paragraph" w:styleId="Heading2">
    <w:name w:val="heading 2"/>
    <w:basedOn w:val="Normal"/>
    <w:pPr>
      <w:outlineLvl w:val="1"/>
      <w:spacing w:before="220" w:after="110"/>
    </w:pPr>
    <w:rPr>
      <w:b/>
      <w:sz w:val="28"/>
    </w:rPr>
  </w:style>
  <w:style w:type="paragraph" w:styleId="Heading3">
    <w:name w:val="heading 3"/>
    <w:basedOn w:val="Normal"/>
    <w:pPr>
      <w:outlineLvl w:val="2"/>
      <w:spacing w:before="200" w:after="100"/>
    </w:pPr>
    <w:rPr>
      <w:b/>
      <w:sz w:val="26"/>
    </w:rPr>
  </w:style>
  <w:style w:type="paragraph" w:styleId="Heading4">
    <w:name w:val="heading 4"/>
    <w:basedOn w:val="Normal"/>
    <w:pPr>
      <w:outlineLvl w:val="3"/>
    </w:pPr>
    <w:rPr>
      <w:b/>
      <w:i/>
    </w:rPr>
  </w:style>
  <w:style w:type="table" w:styleId="TableGrid">
    <w:name w:val="Table Grid"/>
  </w:style>
</w:styles>
</file>

<file path=word/_rels/document.xml.rels><?xml version="1.0" encoding="UTF-8" standalone="yes"?>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</Relationships>
</file>