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(2026-08-02):</w:t>
      </w:r>
      <w:r>
        <w:t xml:space="preserve"> Working draft. The primary detection analysis is complete and reported. The pre-registered randomized comparison reached its minimum sample and is reported as an underpowered null with an effect-size estimate. All figures are verified against the study database on the date shown, not carried from memory.</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Detection across the full expert base.</w:t>
      </w:r>
      <w:r>
        <w:t xml:space="preserve"> Every participant in this study, in both the panel and the randomized comparison, is an experienced professional in a relevant domain; "JRS-naive" in the comparison arms denotes no prior exposure to the method, not absence of expertise. Pooling every expert who applied the five conditions, the panel and the standard arm of the randomized comparison together, gives </w:t>
      </w:r>
      <w:r>
        <w:rPr>
          <w:b/>
        </w:rPr>
        <w:t xml:space="preserve">81.3 percent accuracy across 21 reviewers and 504 graded reads</w:t>
      </w:r>
      <w:r>
        <w:t xml:space="preserve"> (95 percent CI 71.8 to 90.9). Across all 32 experts and 768 graded reads, whether or not they used the method, accuracy was 77.2 percent (95 percent CI 68.2 to 86.3). The detection finding therefore does not rest on one recruitment route.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Secondary, pre-registered.</w:t>
      </w:r>
      <w:r>
        <w:t xml:space="preserve"> A randomized comparison assigned JRS-naive professionals to review the same records either with the five conditions or with a general prompt. The standard condition scored 73.3 percent (n = 5) against 69.3 percent for the unaided condition (n = 11), a difference of 4.0 percentage points (Cohen's d = 0.140) whose confidence interval includes zero. Under the pre-registered decision rule this is reported as a null. As the unaided arm has accrued completers, the observed difference has narrowed rather than widened, and post-hoc power analysis now indicates that a definitive test of an effect this size would require approximately 800 completers per condition.</w:t>
      </w:r>
    </w:p>
    <w:p>
      <w:pPr>
        <w:spacing w:after="140"/>
      </w:pPr>
      <w:r>
        <w:rPr>
          <w:b/>
        </w:rPr>
        <w:t xml:space="preserve">Contribution.</w:t>
      </w:r>
      <w:r>
        <w:t xml:space="preserve"> DRR names a documentation-governance problem that model-centric AI governance does not capture. This paper establishes that the property is detectable by experienced reviewers, characterizes the effect size for a properly powered trial of the standard's added value, and offers the design as a template for evaluating documentation-quality controls.</w:t>
      </w:r>
    </w:p>
    <w:p>
      <w:pPr>
        <w:spacing w:after="140"/>
      </w:pPr>
      <w:r>
        <w:rPr>
          <w:b/>
        </w:rPr>
        <w:t xml:space="preserve">Keywords:</w:t>
      </w:r>
      <w:r>
        <w:t xml:space="preserve"> AI governance; documentation risk; accountability; decision defensibility; record-level review; responsible AI.</w:t>
      </w:r>
    </w:p>
    <w:p>
      <w:pPr>
        <w:pBdr>
          <w:bottom w:val="single" w:sz="6" w:space="1" w:color="AAAAAA"/>
        </w:pBdr>
      </w:pPr>
    </w:p>
    <w:p>
      <w:pPr>
        <w:pStyle w:val="Heading2"/>
        <w:spacing w:after="140"/>
      </w:pPr>
      <w:r>
        <w:t xml:space="preserve">1. Introduction</w:t>
      </w:r>
    </w:p>
    <w:p>
      <w:pPr>
        <w:spacing w:after="140"/>
      </w:pPr>
      <w: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rPr>
          <w:b/>
        </w:rPr>
        <w:t xml:space="preserve">The question this paper answers.</w:t>
      </w:r>
      <w: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A secondary pre-registered comparison, testing whether the structured method improves detection relative to unaided judgment, is reported in Section 6 as an underpowered null with the effect size needed to design a conclusive trial.</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The primary analysis is a detection study. An international panel of experienced professionals independently judged a balanced corpus of constructed records against a verified answer key, blind to the key and to one another's judgments. A secondary, pre-registered randomized comparison (Section 6) tested whether the structured method improves detection relative to unaided judgment among equally experienced professionals with no prior exposure to it.</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numPr>
          <w:ilvl w:val="0"/>
          <w:numId w:val="1"/>
        </w:numPr>
        <w:spacing w:after="60"/>
      </w:pPr>
      <w:r>
        <w:rPr>
          <w:b/>
        </w:rPr>
        <w:t xml:space="preserve">Comparison threshold (secondary).</w:t>
      </w:r>
      <w:r>
        <w:t xml:space="preserve"> The standard condition exceeds the unaided condition with the confidence interval of the difference excluding zero.</w:t>
      </w:r>
    </w:p>
    <w:p>
      <w:pPr>
        <w:spacing w:after="140"/>
      </w:pPr>
      <w:r>
        <w:t xml:space="preserve">Failing a threshold is reported plainly as a null or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randomized comparison were blind to the two-condition design and are debriefed on closure. The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2"/>
        <w:spacing w:after="140"/>
      </w:pPr>
      <w:r>
        <w:t xml:space="preserve">5. Results: DRR is detectable</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rPr>
          <w:b/>
        </w:rPr>
        <w:t xml:space="preserve">The pre-registered detection threshold is cleared on both criteria.</w:t>
      </w:r>
      <w:r>
        <w:t xml:space="preserve">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On a shared set of 10 records,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rPr>
          <w:b/>
        </w:rPr>
        <w:t xml:space="preserve">Both point estimates clear the pre-registered floor of 0.61. Neither clears the plan's secondary criterion that the lower confidence bound exceed 0.41</w:t>
      </w:r>
      <w:r>
        <w:t xml:space="preserve">, on the analytic interval: experts fall on the boundary at 0.402 and pass it on the bootstrap interval at 0.427, while trained reviewers do not meet it on either. This is stated rather than omitted, and it is a direct consequence of estimating a coefficient from 10 records.</w:t>
      </w:r>
    </w:p>
    <w:p>
      <w:pPr>
        <w:spacing w:after="140"/>
      </w:pPr>
      <w:r>
        <w:rPr>
          <w:b/>
        </w:rPr>
        <w:t xml:space="preserve">These reliability figures are interim.</w:t>
      </w:r>
      <w:r>
        <w:t xml:space="preserve"> They rest on 10 records against a pre-registered pooled target of approximately 26, which is why the intervals above are as wide as they are. They are reported as an interim result and will be re-estimated at target, at which point the lower-bound criterion becomes a meaningful test rather than an artifact of sample size.</w:t>
      </w:r>
    </w:p>
    <w:p>
      <w:pPr>
        <w:pStyle w:val="Heading3"/>
        <w:spacing w:after="140"/>
      </w:pPr>
      <w:r>
        <w:t xml:space="preserve">5.4 Detection across the full expert base</w:t>
      </w:r>
    </w:p>
    <w:p>
      <w:pPr>
        <w:spacing w:after="140"/>
      </w:pPr>
      <w:r>
        <w:t xml:space="preserve">Every reviewer in this study, in the panel and in both randomized arms, is an experienced professional in a relevant domain. The term "JRS-naive," used for the randomized recruits, denotes no prior exposure to the method and not an absence of expertise. That composition allows a descriptive question separate from the randomized test: how well do experienced professionals detect unreconstructable records, whatever route brought them into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Group</w:t>
            </w:r>
          </w:p>
        </w:tc>
        <w:tc>
          <w:tcPr>
            <w:tcW w:w="1872" w:type="dxa"/>
          </w:tcPr>
          <w:p>
            <w:pPr>
              <w:spacing w:after="0"/>
            </w:pPr>
            <w:r>
              <w:t xml:space="preserve">Reviewers</w:t>
            </w:r>
          </w:p>
        </w:tc>
        <w:tc>
          <w:tcPr>
            <w:tcW w:w="1872" w:type="dxa"/>
          </w:tcPr>
          <w:p>
            <w:pPr>
              <w:spacing w:after="0"/>
            </w:pPr>
            <w:r>
              <w:t xml:space="preserve">Graded reads</w:t>
            </w:r>
          </w:p>
        </w:tc>
        <w:tc>
          <w:tcPr>
            <w:tcW w:w="1872" w:type="dxa"/>
          </w:tcPr>
          <w:p>
            <w:pPr>
              <w:spacing w:after="0"/>
            </w:pPr>
            <w:r>
              <w:t xml:space="preserve">Accuracy</w:t>
            </w:r>
          </w:p>
        </w:tc>
        <w:tc>
          <w:tcPr>
            <w:tcW w:w="1872" w:type="dxa"/>
          </w:tcPr>
          <w:p>
            <w:pPr>
              <w:spacing w:after="0"/>
            </w:pPr>
            <w:r>
              <w:t xml:space="preserve">95% CI</w:t>
            </w:r>
          </w:p>
        </w:tc>
      </w:tr>
      <w:tr>
        <w:tc>
          <w:tcPr>
            <w:tcW w:w="1872" w:type="dxa"/>
          </w:tcPr>
          <w:p>
            <w:pPr>
              <w:spacing w:after="0"/>
            </w:pPr>
            <w:r>
              <w:t xml:space="preserve">Panel, applying the standard</w:t>
            </w:r>
          </w:p>
        </w:tc>
        <w:tc>
          <w:tcPr>
            <w:tcW w:w="1872" w:type="dxa"/>
          </w:tcPr>
          <w:p>
            <w:pPr>
              <w:spacing w:after="0"/>
            </w:pPr>
            <w:r>
              <w:t xml:space="preserve">16</w:t>
            </w:r>
          </w:p>
        </w:tc>
        <w:tc>
          <w:tcPr>
            <w:tcW w:w="1872" w:type="dxa"/>
          </w:tcPr>
          <w:p>
            <w:pPr>
              <w:spacing w:after="0"/>
            </w:pPr>
            <w:r>
              <w:t xml:space="preserve">384</w:t>
            </w:r>
          </w:p>
        </w:tc>
        <w:tc>
          <w:tcPr>
            <w:tcW w:w="1872" w:type="dxa"/>
          </w:tcPr>
          <w:p>
            <w:pPr>
              <w:spacing w:after="0"/>
            </w:pPr>
            <w:r>
              <w:t xml:space="preserve">83.9%</w:t>
            </w:r>
          </w:p>
        </w:tc>
        <w:tc>
          <w:tcPr>
            <w:tcW w:w="1872" w:type="dxa"/>
          </w:tcPr>
          <w:p>
            <w:pPr>
              <w:spacing w:after="0"/>
            </w:pPr>
            <w:r>
              <w:t xml:space="preserve">72.7 to 95.1</w:t>
            </w:r>
          </w:p>
        </w:tc>
      </w:tr>
      <w:tr>
        <w:tc>
          <w:tcPr>
            <w:tcW w:w="1872" w:type="dxa"/>
          </w:tcPr>
          <w:p>
            <w:pPr>
              <w:spacing w:after="0"/>
            </w:pPr>
            <w:r>
              <w:t xml:space="preserve">Randomized standard arm</w:t>
            </w:r>
          </w:p>
        </w:tc>
        <w:tc>
          <w:tcPr>
            <w:tcW w:w="1872" w:type="dxa"/>
          </w:tcPr>
          <w:p>
            <w:pPr>
              <w:spacing w:after="0"/>
            </w:pPr>
            <w:r>
              <w:t xml:space="preserve">5</w:t>
            </w:r>
          </w:p>
        </w:tc>
        <w:tc>
          <w:tcPr>
            <w:tcW w:w="1872" w:type="dxa"/>
          </w:tcPr>
          <w:p>
            <w:pPr>
              <w:spacing w:after="0"/>
            </w:pPr>
            <w:r>
              <w:t xml:space="preserve">120</w:t>
            </w:r>
          </w:p>
        </w:tc>
        <w:tc>
          <w:tcPr>
            <w:tcW w:w="1872" w:type="dxa"/>
          </w:tcPr>
          <w:p>
            <w:pPr>
              <w:spacing w:after="0"/>
            </w:pPr>
            <w:r>
              <w:t xml:space="preserve">73.3%</w:t>
            </w:r>
          </w:p>
        </w:tc>
        <w:tc>
          <w:tcPr>
            <w:tcW w:w="1872" w:type="dxa"/>
          </w:tcPr>
          <w:p>
            <w:pPr>
              <w:spacing w:after="0"/>
            </w:pPr>
            <w:r>
              <w:t xml:space="preserve">47.1 to 99.6</w:t>
            </w:r>
          </w:p>
        </w:tc>
      </w:tr>
      <w:tr>
        <w:tc>
          <w:tcPr>
            <w:tcW w:w="1872" w:type="dxa"/>
          </w:tcPr>
          <w:p>
            <w:pPr>
              <w:spacing w:after="0"/>
            </w:pPr>
            <w:r>
              <w:rPr>
                <w:b/>
              </w:rPr>
              <w:t xml:space="preserve">All reviewers applying the standard</w:t>
            </w:r>
          </w:p>
        </w:tc>
        <w:tc>
          <w:tcPr>
            <w:tcW w:w="1872" w:type="dxa"/>
          </w:tcPr>
          <w:p>
            <w:pPr>
              <w:spacing w:after="0"/>
            </w:pPr>
            <w:r>
              <w:rPr>
                <w:b/>
              </w:rPr>
              <w:t xml:space="preserve">21</w:t>
            </w:r>
          </w:p>
        </w:tc>
        <w:tc>
          <w:tcPr>
            <w:tcW w:w="1872" w:type="dxa"/>
          </w:tcPr>
          <w:p>
            <w:pPr>
              <w:spacing w:after="0"/>
            </w:pPr>
            <w:r>
              <w:rPr>
                <w:b/>
              </w:rPr>
              <w:t xml:space="preserve">504</w:t>
            </w:r>
          </w:p>
        </w:tc>
        <w:tc>
          <w:tcPr>
            <w:tcW w:w="1872" w:type="dxa"/>
          </w:tcPr>
          <w:p>
            <w:pPr>
              <w:spacing w:after="0"/>
            </w:pPr>
            <w:r>
              <w:rPr>
                <w:b/>
              </w:rPr>
              <w:t xml:space="preserve">81.3%</w:t>
            </w:r>
          </w:p>
        </w:tc>
        <w:tc>
          <w:tcPr>
            <w:tcW w:w="1872" w:type="dxa"/>
          </w:tcPr>
          <w:p>
            <w:pPr>
              <w:spacing w:after="0"/>
            </w:pPr>
            <w:r>
              <w:rPr>
                <w:b/>
              </w:rPr>
              <w:t xml:space="preserve">71.8 to 90.9</w:t>
            </w:r>
          </w:p>
        </w:tc>
      </w:tr>
      <w:tr>
        <w:tc>
          <w:tcPr>
            <w:tcW w:w="1872" w:type="dxa"/>
          </w:tcPr>
          <w:p>
            <w:pPr>
              <w:spacing w:after="0"/>
            </w:pPr>
            <w:r>
              <w:t xml:space="preserve">All experts, method or not</w:t>
            </w:r>
          </w:p>
        </w:tc>
        <w:tc>
          <w:tcPr>
            <w:tcW w:w="1872" w:type="dxa"/>
          </w:tcPr>
          <w:p>
            <w:pPr>
              <w:spacing w:after="0"/>
            </w:pPr>
            <w:r>
              <w:t xml:space="preserve">32</w:t>
            </w:r>
          </w:p>
        </w:tc>
        <w:tc>
          <w:tcPr>
            <w:tcW w:w="1872" w:type="dxa"/>
          </w:tcPr>
          <w:p>
            <w:pPr>
              <w:spacing w:after="0"/>
            </w:pPr>
            <w:r>
              <w:t xml:space="preserve">768</w:t>
            </w:r>
          </w:p>
        </w:tc>
        <w:tc>
          <w:tcPr>
            <w:tcW w:w="1872" w:type="dxa"/>
          </w:tcPr>
          <w:p>
            <w:pPr>
              <w:spacing w:after="0"/>
            </w:pPr>
            <w:r>
              <w:t xml:space="preserve">77.2%</w:t>
            </w:r>
          </w:p>
        </w:tc>
        <w:tc>
          <w:tcPr>
            <w:tcW w:w="1872" w:type="dxa"/>
          </w:tcPr>
          <w:p>
            <w:pPr>
              <w:spacing w:after="0"/>
            </w:pPr>
            <w:r>
              <w:t xml:space="preserve">68.2 to 86.3</w:t>
            </w:r>
          </w:p>
        </w:tc>
      </w:tr>
    </w:tbl>
    <w:p>
      <w:pPr/>
      <w:r>
        <w:t/>
      </w:r>
    </w:p>
    <w:p>
      <w:pPr>
        <w:spacing w:after="140"/>
      </w:pPr>
      <w:r>
        <w:t xml:space="preserve">Pooled across every reviewer who applied the five conditions, detection accuracy is 81.3 percent with a lower confidence bound of 71.8, which clears the pre-registered threshold on a base more than twice the size of the panel alone and drawn through two separate recruitment routes. Sixteen of those 21 reviewers individually met or exceeded the 70 percent threshold. Against chance, the pooled result is decisive (one-sample t = 6.83 on 20 degrees of freedom).</w:t>
      </w:r>
    </w:p>
    <w:p>
      <w:pPr>
        <w:spacing w:after="140"/>
      </w:pPr>
      <w:r>
        <w:rPr>
          <w:b/>
        </w:rPr>
        <w:t xml:space="preserve">This pooling is a detection estimate, not a comparison.</w:t>
      </w:r>
      <w:r>
        <w:t xml:space="preserve"> The panel and the randomized standard arm applied the same instrument to the same records, which is what makes a combined detection figure meaningful. They were not randomized against one another, so nothing in this subsection speaks to whether the method causes better detection. That question belongs to Section 6 and is answered there as a null.</w:t>
      </w:r>
    </w:p>
    <w:p>
      <w:pPr>
        <w:pStyle w:val="Heading2"/>
        <w:spacing w:after="140"/>
      </w:pPr>
      <w:r>
        <w:t xml:space="preserve">6. Secondary pre-registered analysis: does the standard improve on unaided judgment?</w:t>
      </w:r>
    </w:p>
    <w:p>
      <w:pPr>
        <w:spacing w:after="140"/>
      </w:pPr>
      <w:r>
        <w:t xml:space="preserve">A randomized comparison was built to isolate the value of the method itself. The participants are experienced professionals in the same domains as the panel, recruited separately and with no prior exposure to the standard; "JRS-naive" refers to that absence of exposure and not to any absence of expertise. Drawn from a single recruitment pool, they were randomly assigned, by a deterministic hash of their participant code and before they judged any record, to review the same 24 records either with the five conditions (standard condition) or with a single general question about adequacy of support (unaided condition).</w:t>
      </w:r>
    </w:p>
    <w:p>
      <w:pPr>
        <w:pStyle w:val="Heading3"/>
        <w:spacing w:after="140"/>
      </w:pPr>
      <w:r>
        <w:t xml:space="preserve">6.1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n</w:t>
            </w:r>
          </w:p>
        </w:tc>
        <w:tc>
          <w:tcPr>
            <w:tcW w:w="3120" w:type="dxa"/>
          </w:tcPr>
          <w:p>
            <w:pPr>
              <w:spacing w:after="0"/>
            </w:pPr>
            <w:r>
              <w:t xml:space="preserve">Accuracy</w:t>
            </w:r>
          </w:p>
        </w:tc>
      </w:tr>
      <w:tr>
        <w:tc>
          <w:tcPr>
            <w:tcW w:w="3120" w:type="dxa"/>
          </w:tcPr>
          <w:p>
            <w:pPr>
              <w:spacing w:after="0"/>
            </w:pPr>
            <w:r>
              <w:t xml:space="preserve">Standard condition</w:t>
            </w:r>
          </w:p>
        </w:tc>
        <w:tc>
          <w:tcPr>
            <w:tcW w:w="3120" w:type="dxa"/>
          </w:tcPr>
          <w:p>
            <w:pPr>
              <w:spacing w:after="0"/>
            </w:pPr>
            <w:r>
              <w:t xml:space="preserve">5</w:t>
            </w:r>
          </w:p>
        </w:tc>
        <w:tc>
          <w:tcPr>
            <w:tcW w:w="3120" w:type="dxa"/>
          </w:tcPr>
          <w:p>
            <w:pPr>
              <w:spacing w:after="0"/>
            </w:pPr>
            <w:r>
              <w:t xml:space="preserve">73.3%</w:t>
            </w:r>
          </w:p>
        </w:tc>
      </w:tr>
      <w:tr>
        <w:tc>
          <w:tcPr>
            <w:tcW w:w="3120" w:type="dxa"/>
          </w:tcPr>
          <w:p>
            <w:pPr>
              <w:spacing w:after="0"/>
            </w:pPr>
            <w:r>
              <w:t xml:space="preserve">Unaided condition</w:t>
            </w:r>
          </w:p>
        </w:tc>
        <w:tc>
          <w:tcPr>
            <w:tcW w:w="3120" w:type="dxa"/>
          </w:tcPr>
          <w:p>
            <w:pPr>
              <w:spacing w:after="0"/>
            </w:pPr>
            <w:r>
              <w:t xml:space="preserve">11</w:t>
            </w:r>
          </w:p>
        </w:tc>
        <w:tc>
          <w:tcPr>
            <w:tcW w:w="3120" w:type="dxa"/>
          </w:tcPr>
          <w:p>
            <w:pPr>
              <w:spacing w:after="0"/>
            </w:pPr>
            <w:r>
              <w:t xml:space="preserve">69.3%</w:t>
            </w:r>
          </w:p>
        </w:tc>
      </w:tr>
      <w:tr>
        <w:tc>
          <w:tcPr>
            <w:tcW w:w="3120" w:type="dxa"/>
          </w:tcPr>
          <w:p>
            <w:pPr>
              <w:spacing w:after="0"/>
            </w:pPr>
            <w:r>
              <w:rPr>
                <w:b/>
              </w:rPr>
              <w:t xml:space="preserve">Difference</w:t>
            </w:r>
          </w:p>
        </w:tc>
        <w:tc>
          <w:tcPr>
            <w:tcW w:w="3120" w:type="dxa"/>
          </w:tcPr>
          <w:p>
            <w:pPr>
              <w:spacing w:after="0"/>
            </w:pPr>
            <w:r>
              <w:t/>
            </w:r>
          </w:p>
        </w:tc>
        <w:tc>
          <w:tcPr>
            <w:tcW w:w="3120" w:type="dxa"/>
          </w:tcPr>
          <w:p>
            <w:pPr>
              <w:spacing w:after="0"/>
            </w:pPr>
            <w:r>
              <w:rPr>
                <w:b/>
              </w:rPr>
              <w:t xml:space="preserve">+4.0 pp</w:t>
            </w:r>
          </w:p>
        </w:tc>
      </w:tr>
    </w:tbl>
    <w:p>
      <w:pPr/>
      <w:r>
        <w:t/>
      </w:r>
    </w:p>
    <w:p>
      <w:pPr>
        <w:spacing w:after="140"/>
      </w:pPr>
      <w:r>
        <w:t xml:space="preserve">The difference favors the standard. It is </w:t>
      </w:r>
      <w:r>
        <w:rPr>
          <w:b/>
        </w:rPr>
        <w:t xml:space="preserve">not statistically distinguishable from zero</w:t>
      </w:r>
      <w:r>
        <w:t xml:space="preserve">: participant-level bootstrap 95 percent CI of the difference is -19.9 to +28.8 percentage points, Welch t = 0.30 on 11.3 degrees of freedom. </w:t>
      </w:r>
      <w:r>
        <w:rPr>
          <w:b/>
        </w:rPr>
        <w:t xml:space="preserve">Under the pre-registered decision rule, this analysis is reported as a null.</w:t>
      </w:r>
      <w:r>
        <w:t xml:space="preserve"> The standard is not shown to improve on unaided judgment by this study.</w:t>
      </w:r>
    </w:p>
    <w:p>
      <w:pPr>
        <w:pStyle w:val="Heading3"/>
        <w:spacing w:after="140"/>
      </w:pPr>
      <w:r>
        <w:t xml:space="preserve">6.2 The comparison is a hard test, and the baseline is strong</w:t>
      </w:r>
    </w:p>
    <w:p>
      <w:pPr>
        <w:spacing w:after="140"/>
      </w:pPr>
      <w:r>
        <w:t xml:space="preserve">Two features of the design bound how large an effect this comparison could ever have shown.</w:t>
      </w:r>
    </w:p>
    <w:p>
      <w:pPr>
        <w:spacing w:after="140"/>
      </w:pPr>
      <w:r>
        <w:t xml:space="preserve">First, </w:t>
      </w:r>
      <w:r>
        <w:rPr>
          <w:b/>
        </w:rPr>
        <w:t xml:space="preserve">the unaided arm is not a weak control.</w:t>
      </w:r>
      <w:r>
        <w:t xml:space="preserve"> Those reviewers are experienced professionals reading records without the five conditions, and they detected unreconstructable records at 69.3 percent, above chance in their own right (one-sample t = 2.06 on 10 degrees of freedom). Six of the 11 met the 70 percent threshold with no method at all. A structured instrument is being asked to improve on competent professional judgment that is already working, which is the most demanding contrast available and the least likely to produce a large margin.</w:t>
      </w:r>
    </w:p>
    <w:p>
      <w:pPr>
        <w:spacing w:after="140"/>
      </w:pPr>
      <w:r>
        <w:t xml:space="preserve">Second, </w:t>
      </w:r>
      <w:r>
        <w:rPr>
          <w:b/>
        </w:rPr>
        <w:t xml:space="preserve">the ceiling is close.</w:t>
      </w:r>
      <w:r>
        <w:t xml:space="preserve"> With a strong baseline near 70 percent and a practical ceiling at 100, the space available for the method to demonstrate value is roughly 30 points wide, and a difference of the size a small trial can detect consumes most of it.</w:t>
      </w:r>
    </w:p>
    <w:p>
      <w:pPr>
        <w:spacing w:after="140"/>
      </w:pPr>
      <w:r>
        <w:t xml:space="preserve">Neither point rescues the result, and neither is offered as one. They explain why a null here is weaker evidence against the standard than a null from a trial with a naive control would be, and they set up the design question in Section 8: the informative next trial varies reviewer experience, rather than adding more experts to both arms.</w:t>
      </w:r>
    </w:p>
    <w:p>
      <w:pPr>
        <w:pStyle w:val="Heading3"/>
        <w:spacing w:after="140"/>
      </w:pPr>
      <w:r>
        <w:t xml:space="preserve">6.3 Why the analysis was underpowered, stated precisely</w:t>
      </w:r>
    </w:p>
    <w:p>
      <w:pPr>
        <w:spacing w:after="140"/>
      </w:pPr>
      <w:r>
        <w:t xml:space="preserve">The observed effect is Cohen's d = 0.140 (pooled sd 28.6). At the sample reached, the smallest difference the comparison could have detected at 80 percent power was approximately 43 percentage points. </w:t>
      </w:r>
      <w:r>
        <w:rPr>
          <w:b/>
        </w:rPr>
        <w:t xml:space="preserve">The comparison was never capable of detecting an effect of the size that appears to be present.</w:t>
      </w:r>
    </w:p>
    <w:p>
      <w:pPr>
        <w:spacing w:after="140"/>
      </w:pPr>
      <w:r>
        <w:t xml:space="preserve">This is a statement about the design, not about the standard. A null from an underpowered test is uninformative about the underlying effect, and we decline to interpret it in either direction.</w:t>
      </w:r>
    </w:p>
    <w:p>
      <w:pPr>
        <w:pStyle w:val="Heading3"/>
        <w:spacing w:after="140"/>
      </w:pPr>
      <w:r>
        <w:t xml:space="preserve">6.4 Effect-size estimate for a conclusive trial</w:t>
      </w:r>
    </w:p>
    <w:p>
      <w:pPr>
        <w:spacing w:after="140"/>
      </w:pPr>
      <w:r>
        <w:t xml:space="preserve">The value this analysis does deliver is a defensible effect-size estimate for designing a properly powered replication: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Target</w:t>
            </w:r>
          </w:p>
        </w:tc>
        <w:tc>
          <w:tcPr>
            <w:tcW w:w="4680" w:type="dxa"/>
          </w:tcPr>
          <w:p>
            <w:pPr>
              <w:spacing w:after="0"/>
            </w:pPr>
            <w:r>
              <w:t xml:space="preserve">Completers required per condition</w:t>
            </w:r>
          </w:p>
        </w:tc>
      </w:tr>
      <w:tr>
        <w:tc>
          <w:tcPr>
            <w:tcW w:w="4680" w:type="dxa"/>
          </w:tcPr>
          <w:p>
            <w:pPr>
              <w:spacing w:after="0"/>
            </w:pPr>
            <w:r>
              <w:t xml:space="preserve">80 percent power, alpha .05</w:t>
            </w:r>
          </w:p>
        </w:tc>
        <w:tc>
          <w:tcPr>
            <w:tcW w:w="4680" w:type="dxa"/>
          </w:tcPr>
          <w:p>
            <w:pPr>
              <w:spacing w:after="0"/>
            </w:pPr>
            <w:r>
              <w:t xml:space="preserve">approximately 800</w:t>
            </w:r>
          </w:p>
        </w:tc>
      </w:tr>
      <w:tr>
        <w:tc>
          <w:tcPr>
            <w:tcW w:w="4680" w:type="dxa"/>
          </w:tcPr>
          <w:p>
            <w:pPr>
              <w:spacing w:after="0"/>
            </w:pPr>
            <w:r>
              <w:t xml:space="preserve">90 percent power, alpha .05</w:t>
            </w:r>
          </w:p>
        </w:tc>
        <w:tc>
          <w:tcPr>
            <w:tcW w:w="4680" w:type="dxa"/>
          </w:tcPr>
          <w:p>
            <w:pPr>
              <w:spacing w:after="0"/>
            </w:pPr>
            <w:r>
              <w:t xml:space="preserve">approximately 1,070</w:t>
            </w:r>
          </w:p>
        </w:tc>
      </w:tr>
    </w:tbl>
    <w:p>
      <w:pPr/>
      <w:r>
        <w:t/>
      </w:r>
    </w:p>
    <w:p>
      <w:pPr>
        <w:spacing w:after="140"/>
      </w:pPr>
      <w:r>
        <w:t xml:space="preserve">We report this specification so that a future trial, whether ours or another group's, can be sized correctly at the outset rather than discovering its limits afterward.</w:t>
      </w:r>
    </w:p>
    <w:p>
      <w:pPr>
        <w:pStyle w:val="Heading2"/>
        <w:spacing w:after="140"/>
      </w:pPr>
      <w:r>
        <w:t xml:space="preserve">7. Discussion</w:t>
      </w:r>
    </w:p>
    <w:p>
      <w:pPr>
        <w:spacing w:after="140"/>
      </w:pPr>
      <w:r>
        <w:rPr>
          <w:b/>
        </w:rPr>
        <w:t xml:space="preserve">The primary contribution is that DRR is detectable.</w:t>
      </w:r>
      <w: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pPr>
      <w:r>
        <w:rPr>
          <w:b/>
        </w:rPr>
        <w:t xml:space="preserve">Detection is not the same as remediation.</w:t>
      </w:r>
      <w:r>
        <w:t xml:space="preserve"> Establishing that reviewers can identify unreconstructable records leaves open whether a structured method helps them do it better, faster, or more consistently than unaided judgment. That question is genuinely open, and Section 6 reports honestly that this study could not settle it.</w:t>
      </w:r>
    </w:p>
    <w:p>
      <w:pPr>
        <w:spacing w:after="140"/>
      </w:pPr>
      <w:r>
        <w:rPr>
          <w:b/>
        </w:rPr>
        <w:t xml:space="preserve">An observation, exploratory and not pre-registered.</w:t>
      </w:r>
      <w: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pPr>
      <w:r>
        <w:rPr>
          <w:b/>
        </w:rPr>
        <w:t xml:space="preserve">Practical implication.</w:t>
      </w:r>
      <w: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spacing w:after="140"/>
      </w:pPr>
      <w:r>
        <w:rPr>
          <w:b/>
        </w:rPr>
        <w:t xml:space="preserve">What the study supports, stated in full.</w:t>
      </w:r>
      <w:r>
        <w:t xml:space="preserve"> Decision Reconstruction Risk is detectable by experienced professionals: 83.9 percent in the panel, 81.3 percent across all 21 reviewers who applied the standard through two separate recruitment routes, both clearing a threshold fixed before the data were seen. The review is applied consistently by independent machines at 84 percent cross-vendor agreement and by independent human experts at AC1 0.74, interim. What the study does not support is a claim that the method improves on the unaided judgment of an already expert reviewer; the randomized test of that question returned a null, and it was run under the least favourable conditions for finding an effect. Those two statements sit together without tension. A property can be real, visible, and worth building controls around before anyone has shown that a particular instrument improves on expert intuition at detecting it.</w:t>
      </w:r>
    </w:p>
    <w:p>
      <w:pPr>
        <w:pStyle w:val="Heading2"/>
        <w:spacing w:after="140"/>
      </w:pPr>
      <w:r>
        <w:t xml:space="preserve">8.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rPr>
          <w:b/>
        </w:rPr>
        <w:t xml:space="preserve">The expert panel and the randomized comparison are not compared to one another as a test of the standard.</w:t>
      </w:r>
      <w:r>
        <w:t xml:space="preserve"> Both groups comprise experienced professionals in relevant domains, so the difference between them is not a difference in expertise; "JRS-naive" denotes no prior exposure to the method. What separates them is that the panel was recruited directly and was not randomized against the comparison arms, so any between-group difference reflects recruitment route and self-selection as well as method, and cannot carry a causal reading. The only valid method comparison in this design is between the two randomized conditions in Section 6, which is reported there as a null. Section 5.4 pools the two groups that applied the standard for a detection estimate only, which is a descriptive statement about detectability and not a comparison.</w:t>
      </w:r>
    </w:p>
    <w:p>
      <w:pPr>
        <w:spacing w:after="140"/>
      </w:pPr>
      <w:r>
        <w:rPr>
          <w:b/>
        </w:rPr>
        <w:t xml:space="preserve">Both randomized arms were drawn from the same pool of experienced professionals, and that bounds what the comparison can show.</w:t>
      </w:r>
      <w:r>
        <w:t xml:space="preserve"> A structured method has the most room to help a reviewer who would otherwise miss things. Testing it on professionals who already perform the task competently is the least favourable condition for detecting an effect, and it is the condition this trial ran under. The design cannot speak to the standard's value for less experienced reviewers, for reviewers working outside their domain, or for teams seeking consistency rather than peak accuracy, and those are the settings where a larger effect is plausible. A future trial that contrasts experienced and less experienced reviewers, each with and without the method, would be more informative than a larger version of this one.</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9. Conclusion</w:t>
      </w:r>
    </w:p>
    <w:p>
      <w:pPr>
        <w:spacing w:after="140"/>
      </w:pPr>
      <w:r>
        <w:t xml:space="preserve">The drafting tool and the technology stack will keep changing. The evidentiary test does not.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experienced professionals,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