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Documentation Quality and Employment-Decision Defensibility: A Structured Record Read Applied to 22 Adjudicated Cases</w:t>
      </w:r>
    </w:p>
    <w:p>
      <w:pPr>
        <w:spacing w:after="140"/>
      </w:pPr>
      <w:r>
        <w:rPr>
          <w:b/>
        </w:rPr>
        <w:t xml:space="preserve">Tanvi Pokhriyal</w:t>
      </w:r>
    </w:p>
    <w:p>
      <w:pPr>
        <w:spacing w:after="140"/>
      </w:pPr>
      <w:r>
        <w:t xml:space="preserve">Human Resources Manager, REIL Innovative Solutions; HR and Employment Domain Lead</w:t>
      </w:r>
    </w:p>
    <w:p>
      <w:pPr>
        <w:spacing w:after="140"/>
      </w:pPr>
      <w:r>
        <w:rPr>
          <w:b/>
        </w:rPr>
        <w:t xml:space="preserve">Phillip Wikes</w:t>
      </w:r>
    </w:p>
    <w:p>
      <w:pPr>
        <w:spacing w:after="140"/>
      </w:pPr>
      <w:r>
        <w:t xml:space="preserve">Creator of the Justification Review Standard; former Lead Civil Rights Officer, Maryland Commission on Civil Rights</w:t>
      </w:r>
    </w:p>
    <w:p>
      <w:pPr>
        <w:spacing w:after="140"/>
      </w:pPr>
      <w:r>
        <w:rPr>
          <w:b/>
        </w:rPr>
        <w:t xml:space="preserve">Author contributions.</w:t>
      </w:r>
      <w:r>
        <w:t xml:space="preserve"> T.P. designed the employment-domain case protocol, selected and screened all 22 adjudicated matters, recorded the read for each case from the decision record alone and before the documented outcome was consulted, and leads the employment and industrial-relations framing. P.W. developed the review standard and the Decision Reconstruction Risk construct, designed the pilot, ran the analyses, and co-wrote the manuscript.</w:t>
      </w:r>
    </w:p>
    <w:p>
      <w:pPr>
        <w:spacing w:after="140"/>
      </w:pPr>
      <w:r>
        <w:rPr>
          <w:b/>
        </w:rPr>
        <w:t xml:space="preserve">Disclosure.</w:t>
      </w:r>
      <w:r>
        <w:t xml:space="preserve"> Both authors contribute in a personal professional capacity. The views expressed are their own and do not represent the position of any employer or institution. No funding was received for this work.</w:t>
      </w:r>
    </w:p>
    <w:p>
      <w:pPr>
        <w:pBdr>
          <w:bottom w:val="single" w:sz="6" w:space="1" w:color="AAAAAA"/>
        </w:pBdr>
      </w:pPr>
    </w:p>
    <w:p>
      <w:pPr>
        <w:pStyle w:val="Heading2"/>
        <w:spacing w:after="140"/>
      </w:pPr>
      <w:r>
        <w:t xml:space="preserve">Abstract</w:t>
      </w:r>
    </w:p>
    <w:p>
      <w:pPr>
        <w:spacing w:after="140"/>
      </w:pPr>
      <w:r>
        <w:t xml:space="preserve">Employment decisions are tested after the fact, and what gets tested is the written record. Under the burden-shifting framework that governs discrimination claims in the United States, and under comparable reasonableness standards in other jurisdictions, whether a stated reason reads as legitimate or as pretext often turns on how well the rationale was documented at the time. That makes documentation quality an operational variable rather than an administrative one.</w:t>
      </w:r>
    </w:p>
    <w:p>
      <w:pPr>
        <w:spacing w:after="140"/>
      </w:pPr>
      <w:r>
        <w:t xml:space="preserve">We applied a structured, record-level read to 22 adjudicated employment and labour matters drawn from three jurisdictional systems: United States Supreme Court decisions, United States Federal Labor Relations Authority decisions, and United Kingdom Employment Tribunal judgments. For each case the read (Ready, Needs work, or Gap) was recorded from the decision record alone, before the documented outcome was consulted.</w:t>
      </w:r>
    </w:p>
    <w:p>
      <w:pPr>
        <w:spacing w:after="140"/>
      </w:pPr>
      <w:r>
        <w:t xml:space="preserve">The read is associated with the outcome. Among the 16 cases with a resolved disposition, matters read as Ready were sustained in 6 of 8 (75.0 percent, 95 percent Wilson interval 40.9 to 92.9), and matters read as Needs work or Gap were sustained in 1 of 8 (12.5 percent, interval 2.2 to 47.1). Fisher's exact test, two-sided, p = 0.041, odds ratio 21.0.</w:t>
      </w:r>
    </w:p>
    <w:p>
      <w:pPr>
        <w:spacing w:after="140"/>
      </w:pPr>
      <w:r>
        <w:t xml:space="preserve">The finding is reported with its limits attached. Eight resolved cases per group is a small sample, the intervals are wide, the cases were selected by a single domain reviewer rather than sampled at random, and all reads were recorded by that reviewer. What the result establishes is that in a corpus that is not filtered by freedom-of-information publication practice, the read moves with the documented outcome in the predicted direction and at a magnitude worth testing properly.</w:t>
      </w:r>
    </w:p>
    <w:p>
      <w:pPr>
        <w:spacing w:after="140"/>
      </w:pPr>
      <w:r>
        <w:rPr>
          <w:b/>
        </w:rPr>
        <w:t xml:space="preserve">Keywords:</w:t>
      </w:r>
      <w:r>
        <w:t xml:space="preserve"> employment law; documentation quality; decision defensibility; pretext; records governance; human resources; industrial relations.</w:t>
      </w:r>
    </w:p>
    <w:p>
      <w:pPr>
        <w:pBdr>
          <w:bottom w:val="single" w:sz="6" w:space="1" w:color="AAAAAA"/>
        </w:pBdr>
      </w:pPr>
    </w:p>
    <w:p>
      <w:pPr>
        <w:pStyle w:val="Heading2"/>
        <w:spacing w:after="140"/>
      </w:pPr>
      <w:r>
        <w:t xml:space="preserve">1. Introduction</w:t>
      </w:r>
    </w:p>
    <w:p>
      <w:pPr>
        <w:spacing w:after="140"/>
      </w:pPr>
      <w:r>
        <w:t xml:space="preserve">An employment decision is made once and read many times. A performance record, a disciplinary file, an investigation summary, a termination memorandum: each is written in the ordinary course and then examined later by people who were not there. An arbitrator, a tribunal, an agency, a court. None of them can interview the manager's memory. They read what was written.</w:t>
      </w:r>
    </w:p>
    <w:p>
      <w:pPr>
        <w:spacing w:after="140"/>
      </w:pPr>
      <w:r>
        <w:t xml:space="preserve">Under </w:t>
      </w:r>
      <w:r>
        <w:rPr>
          <w:i/>
        </w:rPr>
        <w:t xml:space="preserve">McDonnell Douglas Corp. v. Green</w:t>
      </w:r>
      <w:r>
        <w:t xml:space="preserve"> and the line of cases that follows it, an employer that offers a legitimate non-discriminatory reason must be able to show it, and whether the reason survives a pretext challenge frequently comes down to whether the contemporaneous record supports it. </w:t>
      </w:r>
      <w:r>
        <w:rPr>
          <w:i/>
        </w:rPr>
        <w:t xml:space="preserve">St. Mary's Honor Center v. Hicks</w:t>
      </w:r>
      <w:r>
        <w:t xml:space="preserve"> sharpened that point: an articulated reason that the record cannot substantiate does not simply fail, it invites the inference the employer least wants. Comparable logic runs through federal-sector labour adjudication and through the reasonableness standard applied by United Kingdom employment tribunals.</w:t>
      </w:r>
    </w:p>
    <w:p>
      <w:pPr>
        <w:spacing w:after="140"/>
      </w:pPr>
      <w:r>
        <w:t xml:space="preserve">The practical consequence is that documentation quality is not a filing concern. It is the variable that decides whether a defensible decision can actually be defended. What has been missing is a way to measure it that does not depend on knowing the outcome first.</w:t>
      </w:r>
    </w:p>
    <w:p>
      <w:pPr>
        <w:pStyle w:val="Heading2"/>
        <w:spacing w:after="140"/>
      </w:pPr>
      <w:r>
        <w:t xml:space="preserve">2. Research question</w:t>
      </w:r>
    </w:p>
    <w:p>
      <w:pPr>
        <w:spacing w:after="140"/>
      </w:pPr>
      <w:r>
        <w:t xml:space="preserve">Is a structured, record-level read of an employment decision, recorded before the outcome is known, associated with whether that decision is sustained on review?</w:t>
      </w:r>
    </w:p>
    <w:p>
      <w:pPr>
        <w:pStyle w:val="Heading2"/>
        <w:spacing w:after="140"/>
      </w:pPr>
      <w:r>
        <w:t xml:space="preserve">3. The instrument</w:t>
      </w:r>
    </w:p>
    <w:p>
      <w:pPr>
        <w:spacing w:after="140"/>
      </w:pPr>
      <w:r>
        <w:t xml:space="preserve">The Justification Review Standard asks one question of a record: can a later, independent reviewer rebuild how the conclusion was reached from the record alone? Five conditions carry that question. Reconstructability,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pPr>
        <w:spacing w:after="140"/>
      </w:pPr>
      <w:r>
        <w:t xml:space="preserve">The conditions resolve to a three-level read: Ready, where a later reviewer could rebuild the conclusion from the record alone; Needs work, where the record is partly reconstructable with gaps; and Gap, where the basis is not visible in the record at all. The risk the standard names is Decision Reconstruction Risk: the condition in which a record cannot, on its own terms, let an independent reviewer rebuild the basis for a consequential decision.</w:t>
      </w:r>
    </w:p>
    <w:p>
      <w:pPr>
        <w:pStyle w:val="Heading2"/>
        <w:spacing w:after="140"/>
      </w:pPr>
      <w:r>
        <w:t xml:space="preserve">4. Methods</w:t>
      </w:r>
    </w:p>
    <w:p>
      <w:pPr>
        <w:pStyle w:val="Heading3"/>
        <w:spacing w:after="140"/>
      </w:pPr>
      <w:r>
        <w:t xml:space="preserve">4.1 Design</w:t>
      </w:r>
    </w:p>
    <w:p>
      <w:pPr>
        <w:spacing w:after="140"/>
      </w:pPr>
      <w:r>
        <w:t xml:space="preserve">Retrospective and records-based. Each case pairs an adjudicated employment or labour matter, in which the sufficiency of the employer's record was at issue, with its documented outcome. The read is recorded first, from the decision record alone and before the outcome is consulted. The outcome and the citation are recorded afterwards.</w:t>
      </w:r>
    </w:p>
    <w:p>
      <w:pPr>
        <w:pStyle w:val="Heading3"/>
        <w:spacing w:after="140"/>
      </w:pPr>
      <w:r>
        <w:t xml:space="preserve">4.2 Materials</w:t>
      </w:r>
    </w:p>
    <w:p>
      <w:pPr>
        <w:spacing w:after="140"/>
      </w:pPr>
      <w:r>
        <w:t xml:space="preserve">Public material only, each case carrying a public citation. No internal, confidential or privileged material was used.</w:t>
      </w:r>
    </w:p>
    <w:p>
      <w:pPr>
        <w:pStyle w:val="Heading3"/>
        <w:spacing w:after="140"/>
      </w:pPr>
      <w:r>
        <w:t xml:space="preserve">4.3 Sample</w:t>
      </w:r>
    </w:p>
    <w:p>
      <w:pPr>
        <w:spacing w:after="140"/>
      </w:pPr>
      <w:r>
        <w:t xml:space="preserve">Twenty-two cases from 22 distinct public sources, collected 22 June to 29 July 2026, spanning three jurisdictional systems: United States Supreme Court decisions, United States Federal Labor Relations Authority decisions, and United Kingdom Employment Tribunal judgments.</w:t>
      </w:r>
    </w:p>
    <w:p>
      <w:pPr>
        <w:pStyle w:val="Heading3"/>
        <w:spacing w:after="140"/>
      </w:pPr>
      <w:r>
        <w:t xml:space="preserve">4.4 Outcome coding</w:t>
      </w:r>
    </w:p>
    <w:p>
      <w:pPr>
        <w:spacing w:after="140"/>
      </w:pPr>
      <w:r>
        <w:t xml:space="preserve">Outcomes are coded from the cited decision in four categories: the employer's position was sustained; it did not survive review; the matter was contested and the source records no resolved disposition; or an adverse audit or compliance finding was recorded. No outcome is inferred.</w:t>
      </w:r>
    </w:p>
    <w:p>
      <w:pPr>
        <w:pStyle w:val="Heading3"/>
        <w:spacing w:after="140"/>
      </w:pPr>
      <w:r>
        <w:t xml:space="preserve">4.5 Analysis</w:t>
      </w:r>
    </w:p>
    <w:p>
      <w:pPr>
        <w:spacing w:after="140"/>
      </w:pPr>
      <w:r>
        <w:t xml:space="preserve">The primary analysis is the association between the read and the documented disposition, tested with Fisher's exact test, which is the appropriate exact method at these cell counts. Cases where the source records no resolved disposition are excluded rather than assigned one. Wilson score intervals are reported on every rate because the cells are small. All reads were recorded by a single domain reviewer, so no inter-rater agreement is estimated; Section 7 treats that as a limitation.</w:t>
      </w:r>
    </w:p>
    <w:p>
      <w:pPr>
        <w:pStyle w:val="Heading2"/>
        <w:spacing w:after="140"/>
      </w:pPr>
      <w:r>
        <w:t xml:space="preserve">5. Results</w:t>
      </w:r>
    </w:p>
    <w:p>
      <w:pPr>
        <w:pStyle w:val="Heading3"/>
        <w:spacing w:after="140"/>
      </w:pPr>
      <w:r>
        <w:t xml:space="preserve">5.1 Sample composition</w:t>
      </w:r>
    </w:p>
    <w:p>
      <w:pPr>
        <w:spacing w:after="140"/>
      </w:pPr>
      <w:r>
        <w:t xml:space="preserve">Reads across the 22 cases: 13 Ready, 6 Needs work, 3 Gap. Documented outcomes: 7 sustained, 7 did not survive review, 6 contested without a recorded disposition, 2 adverse audit findings.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Read</w:t>
            </w:r>
          </w:p>
        </w:tc>
        <w:tc>
          <w:tcPr>
            <w:tcW w:w="1560" w:type="dxa"/>
          </w:tcPr>
          <w:p>
            <w:pPr>
              <w:spacing w:after="0"/>
            </w:pPr>
            <w:r>
              <w:t xml:space="preserve">Sustained</w:t>
            </w:r>
          </w:p>
        </w:tc>
        <w:tc>
          <w:tcPr>
            <w:tcW w:w="1560" w:type="dxa"/>
          </w:tcPr>
          <w:p>
            <w:pPr>
              <w:spacing w:after="0"/>
            </w:pPr>
            <w:r>
              <w:t xml:space="preserve">Did not survive</w:t>
            </w:r>
          </w:p>
        </w:tc>
        <w:tc>
          <w:tcPr>
            <w:tcW w:w="1560" w:type="dxa"/>
          </w:tcPr>
          <w:p>
            <w:pPr>
              <w:spacing w:after="0"/>
            </w:pPr>
            <w:r>
              <w:t xml:space="preserve">Contested</w:t>
            </w:r>
          </w:p>
        </w:tc>
        <w:tc>
          <w:tcPr>
            <w:tcW w:w="1560" w:type="dxa"/>
          </w:tcPr>
          <w:p>
            <w:pPr>
              <w:spacing w:after="0"/>
            </w:pPr>
            <w:r>
              <w:t xml:space="preserve">Adverse finding</w:t>
            </w:r>
          </w:p>
        </w:tc>
        <w:tc>
          <w:tcPr>
            <w:tcW w:w="1560" w:type="dxa"/>
          </w:tcPr>
          <w:p>
            <w:pPr>
              <w:spacing w:after="0"/>
            </w:pPr>
            <w:r>
              <w:t xml:space="preserve">Total</w:t>
            </w:r>
          </w:p>
        </w:tc>
      </w:tr>
      <w:tr>
        <w:tc>
          <w:tcPr>
            <w:tcW w:w="1560" w:type="dxa"/>
          </w:tcPr>
          <w:p>
            <w:pPr>
              <w:spacing w:after="0"/>
            </w:pPr>
            <w:r>
              <w:t xml:space="preserve">Ready</w:t>
            </w:r>
          </w:p>
        </w:tc>
        <w:tc>
          <w:tcPr>
            <w:tcW w:w="1560" w:type="dxa"/>
          </w:tcPr>
          <w:p>
            <w:pPr>
              <w:spacing w:after="0"/>
            </w:pPr>
            <w:r>
              <w:t xml:space="preserve">6</w:t>
            </w:r>
          </w:p>
        </w:tc>
        <w:tc>
          <w:tcPr>
            <w:tcW w:w="1560" w:type="dxa"/>
          </w:tcPr>
          <w:p>
            <w:pPr>
              <w:spacing w:after="0"/>
            </w:pPr>
            <w:r>
              <w:t xml:space="preserve">1</w:t>
            </w:r>
          </w:p>
        </w:tc>
        <w:tc>
          <w:tcPr>
            <w:tcW w:w="1560" w:type="dxa"/>
          </w:tcPr>
          <w:p>
            <w:pPr>
              <w:spacing w:after="0"/>
            </w:pPr>
            <w:r>
              <w:t xml:space="preserve">5</w:t>
            </w:r>
          </w:p>
        </w:tc>
        <w:tc>
          <w:tcPr>
            <w:tcW w:w="1560" w:type="dxa"/>
          </w:tcPr>
          <w:p>
            <w:pPr>
              <w:spacing w:after="0"/>
            </w:pPr>
            <w:r>
              <w:t xml:space="preserve">1</w:t>
            </w:r>
          </w:p>
        </w:tc>
        <w:tc>
          <w:tcPr>
            <w:tcW w:w="1560" w:type="dxa"/>
          </w:tcPr>
          <w:p>
            <w:pPr>
              <w:spacing w:after="0"/>
            </w:pPr>
            <w:r>
              <w:t xml:space="preserve">13</w:t>
            </w:r>
          </w:p>
        </w:tc>
      </w:tr>
      <w:tr>
        <w:tc>
          <w:tcPr>
            <w:tcW w:w="1560" w:type="dxa"/>
          </w:tcPr>
          <w:p>
            <w:pPr>
              <w:spacing w:after="0"/>
            </w:pPr>
            <w:r>
              <w:t xml:space="preserve">Needs work</w:t>
            </w:r>
          </w:p>
        </w:tc>
        <w:tc>
          <w:tcPr>
            <w:tcW w:w="1560" w:type="dxa"/>
          </w:tcPr>
          <w:p>
            <w:pPr>
              <w:spacing w:after="0"/>
            </w:pPr>
            <w:r>
              <w:t xml:space="preserve">0</w:t>
            </w:r>
          </w:p>
        </w:tc>
        <w:tc>
          <w:tcPr>
            <w:tcW w:w="1560" w:type="dxa"/>
          </w:tcPr>
          <w:p>
            <w:pPr>
              <w:spacing w:after="0"/>
            </w:pPr>
            <w:r>
              <w:t xml:space="preserve">4</w:t>
            </w:r>
          </w:p>
        </w:tc>
        <w:tc>
          <w:tcPr>
            <w:tcW w:w="1560" w:type="dxa"/>
          </w:tcPr>
          <w:p>
            <w:pPr>
              <w:spacing w:after="0"/>
            </w:pPr>
            <w:r>
              <w:t xml:space="preserve">1</w:t>
            </w:r>
          </w:p>
        </w:tc>
        <w:tc>
          <w:tcPr>
            <w:tcW w:w="1560" w:type="dxa"/>
          </w:tcPr>
          <w:p>
            <w:pPr>
              <w:spacing w:after="0"/>
            </w:pPr>
            <w:r>
              <w:t xml:space="preserve">1</w:t>
            </w:r>
          </w:p>
        </w:tc>
        <w:tc>
          <w:tcPr>
            <w:tcW w:w="1560" w:type="dxa"/>
          </w:tcPr>
          <w:p>
            <w:pPr>
              <w:spacing w:after="0"/>
            </w:pPr>
            <w:r>
              <w:t xml:space="preserve">6</w:t>
            </w:r>
          </w:p>
        </w:tc>
      </w:tr>
      <w:tr>
        <w:tc>
          <w:tcPr>
            <w:tcW w:w="1560" w:type="dxa"/>
          </w:tcPr>
          <w:p>
            <w:pPr>
              <w:spacing w:after="0"/>
            </w:pPr>
            <w:r>
              <w:t xml:space="preserve">Gap</w:t>
            </w:r>
          </w:p>
        </w:tc>
        <w:tc>
          <w:tcPr>
            <w:tcW w:w="1560" w:type="dxa"/>
          </w:tcPr>
          <w:p>
            <w:pPr>
              <w:spacing w:after="0"/>
            </w:pPr>
            <w:r>
              <w:t xml:space="preserve">1</w:t>
            </w:r>
          </w:p>
        </w:tc>
        <w:tc>
          <w:tcPr>
            <w:tcW w:w="1560" w:type="dxa"/>
          </w:tcPr>
          <w:p>
            <w:pPr>
              <w:spacing w:after="0"/>
            </w:pPr>
            <w:r>
              <w:t xml:space="preserve">2</w:t>
            </w:r>
          </w:p>
        </w:tc>
        <w:tc>
          <w:tcPr>
            <w:tcW w:w="1560" w:type="dxa"/>
          </w:tcPr>
          <w:p>
            <w:pPr>
              <w:spacing w:after="0"/>
            </w:pPr>
            <w:r>
              <w:t xml:space="preserve">0</w:t>
            </w:r>
          </w:p>
        </w:tc>
        <w:tc>
          <w:tcPr>
            <w:tcW w:w="1560" w:type="dxa"/>
          </w:tcPr>
          <w:p>
            <w:pPr>
              <w:spacing w:after="0"/>
            </w:pPr>
            <w:r>
              <w:t xml:space="preserve">0</w:t>
            </w:r>
          </w:p>
        </w:tc>
        <w:tc>
          <w:tcPr>
            <w:tcW w:w="1560" w:type="dxa"/>
          </w:tcPr>
          <w:p>
            <w:pPr>
              <w:spacing w:after="0"/>
            </w:pPr>
            <w:r>
              <w:t xml:space="preserve">3</w:t>
            </w:r>
          </w:p>
        </w:tc>
      </w:tr>
      <w:tr>
        <w:tc>
          <w:tcPr>
            <w:tcW w:w="1560" w:type="dxa"/>
          </w:tcPr>
          <w:p>
            <w:pPr>
              <w:spacing w:after="0"/>
            </w:pPr>
            <w:r>
              <w:rPr>
                <w:b/>
              </w:rPr>
              <w:t xml:space="preserve">Total</w:t>
            </w:r>
          </w:p>
        </w:tc>
        <w:tc>
          <w:tcPr>
            <w:tcW w:w="1560" w:type="dxa"/>
          </w:tcPr>
          <w:p>
            <w:pPr>
              <w:spacing w:after="0"/>
            </w:pPr>
            <w:r>
              <w:rPr>
                <w:b/>
              </w:rPr>
              <w:t xml:space="preserve">7</w:t>
            </w:r>
          </w:p>
        </w:tc>
        <w:tc>
          <w:tcPr>
            <w:tcW w:w="1560" w:type="dxa"/>
          </w:tcPr>
          <w:p>
            <w:pPr>
              <w:spacing w:after="0"/>
            </w:pPr>
            <w:r>
              <w:rPr>
                <w:b/>
              </w:rPr>
              <w:t xml:space="preserve">7</w:t>
            </w:r>
          </w:p>
        </w:tc>
        <w:tc>
          <w:tcPr>
            <w:tcW w:w="1560" w:type="dxa"/>
          </w:tcPr>
          <w:p>
            <w:pPr>
              <w:spacing w:after="0"/>
            </w:pPr>
            <w:r>
              <w:rPr>
                <w:b/>
              </w:rPr>
              <w:t xml:space="preserve">6</w:t>
            </w:r>
          </w:p>
        </w:tc>
        <w:tc>
          <w:tcPr>
            <w:tcW w:w="1560" w:type="dxa"/>
          </w:tcPr>
          <w:p>
            <w:pPr>
              <w:spacing w:after="0"/>
            </w:pPr>
            <w:r>
              <w:rPr>
                <w:b/>
              </w:rPr>
              <w:t xml:space="preserve">2</w:t>
            </w:r>
          </w:p>
        </w:tc>
        <w:tc>
          <w:tcPr>
            <w:tcW w:w="1560" w:type="dxa"/>
          </w:tcPr>
          <w:p>
            <w:pPr>
              <w:spacing w:after="0"/>
            </w:pPr>
            <w:r>
              <w:rPr>
                <w:b/>
              </w:rPr>
              <w:t xml:space="preserve">22</w:t>
            </w:r>
          </w:p>
        </w:tc>
      </w:tr>
    </w:tbl>
    <w:p>
      <w:pPr/>
      <w:r>
        <w:t/>
      </w:r>
    </w:p>
    <w:p>
      <w:pPr>
        <w:pStyle w:val="Heading3"/>
        <w:spacing w:after="140"/>
      </w:pPr>
      <w:r>
        <w:t xml:space="preserve">5.2 The read is associated with the outcome</w:t>
      </w:r>
    </w:p>
    <w:p>
      <w:pPr>
        <w:spacing w:after="140"/>
      </w:pPr>
      <w:r>
        <w:t xml:space="preserve">Restricting to the 16 cases with a resolved disposition, and grouping Needs work with Gap because both indicate an incomplete basis: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w:r>
          </w:p>
        </w:tc>
        <w:tc>
          <w:tcPr>
            <w:tcW w:w="2340" w:type="dxa"/>
          </w:tcPr>
          <w:p>
            <w:pPr>
              <w:spacing w:after="0"/>
            </w:pPr>
            <w:r>
              <w:t xml:space="preserve">Sustained</w:t>
            </w:r>
          </w:p>
        </w:tc>
        <w:tc>
          <w:tcPr>
            <w:tcW w:w="2340" w:type="dxa"/>
          </w:tcPr>
          <w:p>
            <w:pPr>
              <w:spacing w:after="0"/>
            </w:pPr>
            <w:r>
              <w:t xml:space="preserve">Did not survive</w:t>
            </w:r>
          </w:p>
        </w:tc>
        <w:tc>
          <w:tcPr>
            <w:tcW w:w="2340" w:type="dxa"/>
          </w:tcPr>
          <w:p>
            <w:pPr>
              <w:spacing w:after="0"/>
            </w:pPr>
            <w:r>
              <w:t xml:space="preserve">Sustained rate (95% CI)</w:t>
            </w:r>
          </w:p>
        </w:tc>
      </w:tr>
      <w:tr>
        <w:tc>
          <w:tcPr>
            <w:tcW w:w="2340" w:type="dxa"/>
          </w:tcPr>
          <w:p>
            <w:pPr>
              <w:spacing w:after="0"/>
            </w:pPr>
            <w:r>
              <w:t xml:space="preserve">Ready (n = 8)</w:t>
            </w:r>
          </w:p>
        </w:tc>
        <w:tc>
          <w:tcPr>
            <w:tcW w:w="2340" w:type="dxa"/>
          </w:tcPr>
          <w:p>
            <w:pPr>
              <w:spacing w:after="0"/>
            </w:pPr>
            <w:r>
              <w:t xml:space="preserve">6</w:t>
            </w:r>
          </w:p>
        </w:tc>
        <w:tc>
          <w:tcPr>
            <w:tcW w:w="2340" w:type="dxa"/>
          </w:tcPr>
          <w:p>
            <w:pPr>
              <w:spacing w:after="0"/>
            </w:pPr>
            <w:r>
              <w:t xml:space="preserve">2</w:t>
            </w:r>
          </w:p>
        </w:tc>
        <w:tc>
          <w:tcPr>
            <w:tcW w:w="2340" w:type="dxa"/>
          </w:tcPr>
          <w:p>
            <w:pPr>
              <w:spacing w:after="0"/>
            </w:pPr>
            <w:r>
              <w:t xml:space="preserve">75.0% (40.9 to 92.9)</w:t>
            </w:r>
          </w:p>
        </w:tc>
      </w:tr>
      <w:tr>
        <w:tc>
          <w:tcPr>
            <w:tcW w:w="2340" w:type="dxa"/>
          </w:tcPr>
          <w:p>
            <w:pPr>
              <w:spacing w:after="0"/>
            </w:pPr>
            <w:r>
              <w:t xml:space="preserve">Needs work or Gap (n = 8)</w:t>
            </w:r>
          </w:p>
        </w:tc>
        <w:tc>
          <w:tcPr>
            <w:tcW w:w="2340" w:type="dxa"/>
          </w:tcPr>
          <w:p>
            <w:pPr>
              <w:spacing w:after="0"/>
            </w:pPr>
            <w:r>
              <w:t xml:space="preserve">1</w:t>
            </w:r>
          </w:p>
        </w:tc>
        <w:tc>
          <w:tcPr>
            <w:tcW w:w="2340" w:type="dxa"/>
          </w:tcPr>
          <w:p>
            <w:pPr>
              <w:spacing w:after="0"/>
            </w:pPr>
            <w:r>
              <w:t xml:space="preserve">7</w:t>
            </w:r>
          </w:p>
        </w:tc>
        <w:tc>
          <w:tcPr>
            <w:tcW w:w="2340" w:type="dxa"/>
          </w:tcPr>
          <w:p>
            <w:pPr>
              <w:spacing w:after="0"/>
            </w:pPr>
            <w:r>
              <w:t xml:space="preserve">12.5% (2.2 to 47.1)</w:t>
            </w:r>
          </w:p>
        </w:tc>
      </w:tr>
    </w:tbl>
    <w:p>
      <w:pPr/>
      <w:r>
        <w:t/>
      </w:r>
    </w:p>
    <w:p>
      <w:pPr>
        <w:spacing w:after="140"/>
      </w:pPr>
      <w:r>
        <w:t xml:space="preserve">Fisher's exact test, two-sided: </w:t>
      </w:r>
      <w:r>
        <w:rPr>
          <w:b/>
        </w:rPr>
        <w:t xml:space="preserve">p = 0.041</w:t>
      </w:r>
      <w:r>
        <w:t xml:space="preserve">. Odds ratio 21.0.</w:t>
      </w:r>
    </w:p>
    <w:p>
      <w:pPr>
        <w:spacing w:after="140"/>
      </w:pPr>
      <w:r>
        <w:t xml:space="preserve">A record read as Ready before the outcome was known was sustained six times more often than a record read as incomplete. The intervals are wide, as they must be at eight cases per group, and they do not overlap at their centres.</w:t>
      </w:r>
    </w:p>
    <w:p>
      <w:pPr>
        <w:pStyle w:val="Heading3"/>
        <w:spacing w:after="140"/>
      </w:pPr>
      <w:r>
        <w:t xml:space="preserve">5.3 What the distribution shows</w:t>
      </w:r>
    </w:p>
    <w:p>
      <w:pPr>
        <w:spacing w:after="140"/>
      </w:pPr>
      <w:r>
        <w:t xml:space="preserve">The three Gap cases split 1 sustained and 2 not sustained, which at n = 3 carries no inferential weight and is reported only for completeness. The signal in this corpus comes from the Ready against Needs work contrast, where the Needs work group was sustained in none of four resolved cases.</w:t>
      </w:r>
    </w:p>
    <w:p>
      <w:pPr>
        <w:spacing w:after="140"/>
      </w:pPr>
      <w:r>
        <w:t xml:space="preserve">Five Ready cases and one Needs work case are coded contested without a recorded disposition and are excluded from the test. Including them under any assumption would require inferring an outcome the source does not state, which the protocol does not permit.</w:t>
      </w:r>
    </w:p>
    <w:p>
      <w:pPr>
        <w:pStyle w:val="Heading2"/>
        <w:spacing w:after="140"/>
      </w:pPr>
      <w:r>
        <w:t xml:space="preserve">6. Discussion</w:t>
      </w:r>
    </w:p>
    <w:p>
      <w:pPr>
        <w:spacing w:after="140"/>
      </w:pPr>
      <w:r>
        <w:t xml:space="preserve">The result is what the framework predicts. Where a tribunal or court is asked whether an employer's stated reason is supported, the record is the evidence, and a record that cannot be rebuilt supplies nothing to support it. That the association appears at this sample size, rather than requiring hundreds of cases to emerge, suggests the effect is not marginal.</w:t>
      </w:r>
    </w:p>
    <w:p>
      <w:pPr>
        <w:spacing w:after="140"/>
      </w:pPr>
      <w:r>
        <w:t xml:space="preserve">The corpus matters to how the result should be read. These are adjudicated employment matters selected for relevance to the sufficiency question, not for being contested on a novel point of law. That distinguishes them from freedom-of-information appellate corpora, where cases reach publication because a legal question was live and the base rate of adverse outcomes is set by publication practice rather than by documentation quality. A companion study applying the same instrument to 32 public-records cases found no association with appellate outcome for exactly that reason, while finding that the reads there tracked reconstructability by two independent measures. The two results are consistent with one another: the instrument measures documentation quality in both corpora, and documentation quality moves the outcome in the corpus where the outcome is not already determined by selection.</w:t>
      </w:r>
    </w:p>
    <w:p>
      <w:pPr>
        <w:spacing w:after="140"/>
      </w:pPr>
      <w:r>
        <w:t xml:space="preserve">For practitioners the operational form is simple. A record that names the basis for each conclusion, identifies its source, holds together chronologically, shows the reasoning from evidence to decision, and carries enough evidence for the weight of that decision, is the record that survives. The five conditions work as a pre-issuance checklist. This study does not establish that applying them lowers adverse outcomes, and no such claim is made.</w:t>
      </w:r>
    </w:p>
    <w:p>
      <w:pPr>
        <w:pStyle w:val="Heading2"/>
        <w:spacing w:after="140"/>
      </w:pPr>
      <w:r>
        <w:t xml:space="preserve">7. Limitations</w:t>
      </w:r>
    </w:p>
    <w:p>
      <w:pPr>
        <w:spacing w:after="140"/>
      </w:pPr>
      <w:r>
        <w:t xml:space="preserve">The resolved sample is 16 cases, eight per group. The intervals are correspondingly wide and the estimate is imprecise.</w:t>
      </w:r>
    </w:p>
    <w:p>
      <w:pPr>
        <w:spacing w:after="140"/>
      </w:pPr>
      <w:r>
        <w:t xml:space="preserve">All 22 reads were recorded by a single domain reviewer, so no inter-rater agreement is estimated and reader-dependence cannot be ruled out.</w:t>
      </w:r>
    </w:p>
    <w:p>
      <w:pPr>
        <w:spacing w:after="140"/>
      </w:pPr>
      <w:r>
        <w:t xml:space="preserve">Cases were selected by the domain reviewer from published sources rather than sampled at random.</w:t>
      </w:r>
    </w:p>
    <w:p>
      <w:pPr>
        <w:spacing w:after="140"/>
      </w:pPr>
      <w:r>
        <w:t xml:space="preserve">Six cases record a contest without a resolved disposition and are excluded rather than assigned an outcome.</w:t>
      </w:r>
    </w:p>
    <w:p>
      <w:pPr>
        <w:spacing w:after="140"/>
      </w:pPr>
      <w:r>
        <w:t xml:space="preserve">The Gap group is three cases and supports no separate reading.</w:t>
      </w:r>
    </w:p>
    <w:p>
      <w:pPr>
        <w:spacing w:after="140"/>
      </w:pPr>
      <w:r>
        <w:t xml:space="preserve">The reviewer read the employer's record as reported inside an adjudicated decision, which is not identical to the file the decision-maker produced at the time.</w:t>
      </w:r>
    </w:p>
    <w:p>
      <w:pPr>
        <w:spacing w:after="140"/>
      </w:pPr>
      <w:r>
        <w:t xml:space="preserve">The corpus spans three jurisdictional systems, which supports breadth but not depth in any one of them.</w:t>
      </w:r>
    </w:p>
    <w:p>
      <w:pPr>
        <w:spacing w:after="140"/>
      </w:pPr>
      <w:r>
        <w:t xml:space="preserve">The standard remains in a validation phase and makes no proven-effectiveness claim.</w:t>
      </w:r>
    </w:p>
    <w:p>
      <w:pPr>
        <w:pStyle w:val="Heading2"/>
        <w:spacing w:after="140"/>
      </w:pPr>
      <w:r>
        <w:t xml:space="preserve">8. Conclusion</w:t>
      </w:r>
    </w:p>
    <w:p>
      <w:pPr>
        <w:spacing w:after="140"/>
      </w:pPr>
      <w:r>
        <w:t xml:space="preserve">Employment decisions are defended from the record or not at all. On 22 adjudicated matters across three jurisdictional systems, a structured read of that record, recorded before the outcome was known, separated the decisions that were sustained from the decisions that were not, at p = 0.041 with an odds ratio of 21.</w:t>
      </w:r>
    </w:p>
    <w:p>
      <w:pPr>
        <w:spacing w:after="140"/>
      </w:pPr>
      <w:r>
        <w:t xml:space="preserve">The sample is small and the study is a pilot. What it establishes is that the effect is large enough to find at this scale, which makes the confirmatory study worth designing: a larger corpus, sampled without regard to how the matter resolved, read blind by at least two reviewers, with the read recorded alongside its basis so that what the reading tracked can be shown rather than assumed.</w:t>
      </w:r>
    </w:p>
    <w:p>
      <w:pPr>
        <w:pStyle w:val="Heading2"/>
        <w:spacing w:after="140"/>
      </w:pPr>
      <w:r>
        <w:t xml:space="preserve">References</w:t>
      </w:r>
    </w:p>
    <w:p>
      <w:pPr>
        <w:spacing w:after="140"/>
      </w:pPr>
      <w:r>
        <w:t xml:space="preserve">Gwet, K. L. (2008). Computing inter-rater reliability and its variance in the presence of high agreement. </w:t>
      </w:r>
      <w:r>
        <w:rPr>
          <w:i/>
        </w:rPr>
        <w:t xml:space="preserve">British Journal of Mathematical and Statistical Psychology, 61</w:t>
      </w:r>
      <w:r>
        <w:t xml:space="preserve">(1), 29-48.</w:t>
      </w:r>
    </w:p>
    <w:p>
      <w:pPr>
        <w:spacing w:after="140"/>
      </w:pPr>
      <w:r>
        <w:rPr>
          <w:i/>
        </w:rPr>
        <w:t xml:space="preserve">McDonnell Douglas Corp. v. Green</w:t>
      </w:r>
      <w:r>
        <w:t xml:space="preserve">, 411 U.S. 792 (1973).</w:t>
      </w:r>
    </w:p>
    <w:p>
      <w:pPr>
        <w:spacing w:after="140"/>
      </w:pPr>
      <w:r>
        <w:rPr>
          <w:i/>
        </w:rPr>
        <w:t xml:space="preserve">St. Mary's Honor Center v. Hicks</w:t>
      </w:r>
      <w:r>
        <w:t xml:space="preserve">, 509 U.S. 502 (1993).</w:t>
      </w:r>
    </w:p>
    <w:p>
      <w:pPr>
        <w:spacing w:after="140"/>
      </w:pPr>
      <w:r>
        <w:t xml:space="preserve">Wilson, E. B. (1927). Probable inference, the law of succession, and statistical inference. </w:t>
      </w:r>
      <w:r>
        <w:rPr>
          <w:i/>
        </w:rPr>
        <w:t xml:space="preserve">Journal of the American Statistical Association, 22</w:t>
      </w:r>
      <w:r>
        <w:t xml:space="preserve">(158), 209-212.</w:t>
      </w:r>
    </w:p>
    <w:p>
      <w:pPr>
        <w:pStyle w:val="Heading3"/>
        <w:spacing w:after="140"/>
      </w:pPr>
      <w:r>
        <w:t xml:space="preserve">Cited decisions</w:t>
      </w:r>
    </w:p>
    <w:p>
      <w:pPr>
        <w:spacing w:after="140"/>
      </w:pPr>
      <w:r>
        <w:t xml:space="preserve">United States Supreme Court decisions, United States Federal Labor Relations Authority decisions including AFGE Local 4012 and Social Security Administration, Denver, Colorado, 73 FLRA No. 106 (May 26, 2023), and United Kingdom Employment Tribunal judgments including Gallon v Sigma Aldrich Ltd, Case No. 2500506/2017 (2017). The complete case list with citations accompanies the data availability statement.</w:t>
      </w:r>
    </w:p>
    <w:p>
      <w:pPr>
        <w:pStyle w:val="Heading2"/>
        <w:spacing w:after="140"/>
      </w:pPr>
      <w:r>
        <w:t xml:space="preserve">Data availability</w:t>
      </w:r>
    </w:p>
    <w:p>
      <w:pPr>
        <w:spacing w:after="140"/>
      </w:pPr>
      <w:r>
        <w:t xml:space="preserve">Case-level data (public citation, read, and documented outcome) are held in the study database under the employment and industrial-relations domain. Verified counts as of 8 August 2026: 22 cases from 22 distinct public sources, collected 22 June to 29 July 2026; reads 13 Ready, 6 Needs work, 3 Gap; outcomes 7 sustained, 7 did not survive review, 6 contested, 2 adverse findings. Every figure in Section 5 is reproduced by an analysis script using only the Python standard library. The complete case set with citations is available from the authors and will be released with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