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Email 1 of 2</w:t>
      </w:r>
    </w:p>
    <w:p>
      <w:pPr>
        <w:spacing w:after="140"/>
      </w:pPr>
      <w:r>
        <w:rPr>
          <w:b/>
        </w:rPr>
        <w:t xml:space="preserve">To:</w:t>
      </w:r>
      <w:r>
        <w:t xml:space="preserve"> jeremy.frazier@sol.doi.gov</w:t>
      </w:r>
    </w:p>
    <w:p>
      <w:pPr>
        <w:spacing w:after="140"/>
      </w:pPr>
      <w:r>
        <w:rPr>
          <w:b/>
        </w:rPr>
        <w:t xml:space="preserve">Subject:</w:t>
      </w:r>
      <w:r>
        <w:t xml:space="preserve"> Documentation-quality data that may be useful alongside the FOIA technology inventory</w:t>
      </w:r>
    </w:p>
    <w:p>
      <w:pPr>
        <w:spacing w:after="140"/>
      </w:pPr>
      <w:r>
        <w:t xml:space="preserve">Dear Dr. Frazier,</w:t>
      </w:r>
    </w:p>
    <w:p>
      <w:pPr>
        <w:spacing w:after="140"/>
      </w:pPr>
      <w:r>
        <w:t xml:space="preserve">I am the Deputy Records Access Officer at the New York City Department of Housing Preservation and Development, and I have spent more than twenty years in New York City public-records operations across housing, transportation and environmental agencies.</w:t>
      </w:r>
    </w:p>
    <w:p>
      <w:pPr>
        <w:spacing w:after="140"/>
      </w:pPr>
      <w:r>
        <w:t xml:space="preserve">I am writing about the inventory of FOIA technology solutions described in the Council's 28 May memorandum. I have just completed a study that sits directly alongside it and that may be useful as the inventory takes shape.</w:t>
      </w:r>
    </w:p>
    <w:p>
      <w:pPr>
        <w:spacing w:after="140"/>
      </w:pPr>
      <w:r>
        <w:t xml:space="preserve">The inventory answers what tools agencies use. The study asks a companion question: whether the determinations coming out of those tools remain independently reviewable. Two agencies can run the same case-management system and produce determinations of very different defensibility, and nothing in a technology inventory would show the difference.</w:t>
      </w:r>
    </w:p>
    <w:p>
      <w:pPr>
        <w:spacing w:after="140"/>
      </w:pPr>
      <w:r>
        <w:t xml:space="preserve">The work is a structured read of the record itself, applied without regard to which system produced it. I applied it to 32 real public-records cases: New York appellate and trial decisions, Committee on Open Government advisory opinions, Connecticut Freedom of Information Commission final decisions, and compliance audits from the New York State Comptroller and the New York City Comptroller. Each case was assessed from the source alone, before I looked at how it came out, and each assessment was recorded with a written basis.</w:t>
      </w:r>
    </w:p>
    <w:p>
      <w:pPr>
        <w:spacing w:after="140"/>
      </w:pPr>
      <w:r>
        <w:t xml:space="preserve">Three findings may be relevant to the Council's work.</w:t>
      </w:r>
    </w:p>
    <w:p>
      <w:pPr>
        <w:spacing w:after="140"/>
      </w:pPr>
      <w:r>
        <w:t xml:space="preserve">The read agreed with independent government auditors in every case where both existed. All five compliance audits in the set were flagged as having no reconstructable basis, and in all five the auditor had separately recorded that the agency could not evidence its own FOIL responses: tracking missing, records of what was provided missing, and in two audits an express statement that the auditor could not determine whether the necessary information had been supplied.</w:t>
      </w:r>
    </w:p>
    <w:p>
      <w:pPr>
        <w:spacing w:after="140"/>
      </w:pPr>
      <w:r>
        <w:t xml:space="preserve">The read was driven by whether the underlying basis was actually present, not by whether the agency won. Six of nine partial assessments carry a contemporaneous note saying the record-level basis could not be rebuilt from the source, against none of the eighteen assessed as complete.</w:t>
      </w:r>
    </w:p>
    <w:p>
      <w:pPr>
        <w:spacing w:after="140"/>
      </w:pPr>
      <w:r>
        <w:t xml:space="preserve">The read separated document types by how much basis each exposes, which is the behaviour you would want from a measure of documentation quality.</w:t>
      </w:r>
    </w:p>
    <w:p>
      <w:pPr>
        <w:spacing w:after="140"/>
      </w:pPr>
      <w:r>
        <w:t xml:space="preserve">A fourth check found no relationship between the read and whether an agency prevailed on appeal, and the study reports that plainly. Published cases are selected for contested legal questions rather than thin files, which is why audit findings, and not appellate outcomes, are the measure a records programme can act on. That reading has since been tested. The same instrument applied in a second domain, employment and labour matters, on 22 adjudicated cases that are not filtered by publication practice, does show the association: records assessed as complete were sustained in six of eight resolved cases against one of eight for records assessed as incomplete, p = 0.041.</w:t>
      </w:r>
    </w:p>
    <w:p>
      <w:pPr>
        <w:spacing w:after="140"/>
      </w:pPr>
      <w:r>
        <w:t xml:space="preserve">The practical point for the inventory is narrow. A documentation-quality sample is cheap, it runs on records an agency already has, it needs no new software, and it measures the thing an inventory cannot see: whether the output holds up when someone reads it cold. If a measure of that kind would be useful as a companion to the technology data you are collecting, I am glad to share the protocol, the case set with citations, and the analysis, and to answer questions from you or your staff.</w:t>
      </w:r>
    </w:p>
    <w:p>
      <w:pPr>
        <w:spacing w:after="140"/>
      </w:pPr>
      <w:r>
        <w:t xml:space="preserve">The manuscript is under submission and I can send the current draft on request.</w:t>
      </w:r>
    </w:p>
    <w:p>
      <w:pPr>
        <w:spacing w:after="140"/>
      </w:pPr>
      <w:r>
        <w:t xml:space="preserve">With respect,</w:t>
      </w:r>
    </w:p>
    <w:p>
      <w:pPr>
        <w:spacing w:after="140"/>
      </w:pPr>
      <w:r>
        <w:t xml:space="preserve">Stacy Young</w:t>
      </w:r>
    </w:p>
    <w:p>
      <w:pPr>
        <w:spacing w:after="140"/>
      </w:pPr>
      <w:r>
        <w:t xml:space="preserve">Deputy Records Access Officer</w:t>
      </w:r>
    </w:p>
    <w:p>
      <w:pPr>
        <w:spacing w:after="140"/>
      </w:pPr>
      <w:r>
        <w:t xml:space="preserve">NYC Department of Housing Preservation and Development</w:t>
      </w:r>
    </w:p>
    <w:p>
      <w:pPr>
        <w:spacing w:after="140"/>
      </w:pPr>
      <w:r>
        <w:t xml:space="preserve">Phillip Wikes</w:t>
      </w:r>
    </w:p>
    <w:p>
      <w:pPr>
        <w:spacing w:after="140"/>
      </w:pPr>
      <w:r>
        <w:t xml:space="preserve">Creator of the Justification Review Standard; former Lead Civil Rights Officer, Maryland Commission on Civil Rights</w:t>
      </w:r>
    </w:p>
    <w:p>
      <w:pPr>
        <w:pBdr>
          <w:bottom w:val="single" w:sz="6" w:space="1" w:color="AAAAAA"/>
        </w:pBdr>
      </w:pPr>
    </w:p>
    <w:p>
      <w:pPr>
        <w:pStyle w:val="Heading1"/>
        <w:spacing w:after="140"/>
      </w:pPr>
      <w:r>
        <w:t xml:space="preserve">Email 2 of 2</w:t>
      </w:r>
    </w:p>
    <w:p>
      <w:pPr>
        <w:spacing w:after="140"/>
      </w:pPr>
      <w:r>
        <w:rPr>
          <w:b/>
        </w:rPr>
        <w:t xml:space="preserve">To:</w:t>
      </w:r>
      <w:r>
        <w:t xml:space="preserve"> CFOCouncil@nara.gov</w:t>
      </w:r>
    </w:p>
    <w:p>
      <w:pPr>
        <w:spacing w:after="140"/>
      </w:pPr>
      <w:r>
        <w:rPr>
          <w:b/>
        </w:rPr>
        <w:t xml:space="preserve">Subject:</w:t>
      </w:r>
      <w:r>
        <w:t xml:space="preserve"> Volunteer interest, Technology Committee</w:t>
      </w:r>
    </w:p>
    <w:p>
      <w:pPr>
        <w:spacing w:after="140"/>
      </w:pPr>
      <w:r>
        <w:t xml:space="preserve">Dear Co-Chairs,</w:t>
      </w:r>
    </w:p>
    <w:p>
      <w:pPr>
        <w:spacing w:after="140"/>
      </w:pPr>
      <w:r>
        <w:t xml:space="preserve">I am writing in response to the Council's 28 May memorandum seeking volunteers, to express interest in the Technology Committee, and secondarily in the Committee on Cross-Agency Collaboration and Innovation.</w:t>
      </w:r>
    </w:p>
    <w:p>
      <w:pPr>
        <w:spacing w:after="140"/>
      </w:pPr>
      <w:r>
        <w:t xml:space="preserve">I am the Deputy Records Access Officer at the New York City Department of Housing Preservation and Development, where I lead cross-divisional public-records and regulatory operations. I have worked in New York City public-records administration since 2004, including as Assistant Freedom of Information Law Officer at the NYC Taxi and Limousine Commission and as Records Manager at the NYC Department of Environmental Protection, and I hold professional certifications through SUNY and the New York State Archives. My work sits where records operations, legal compliance and executive decision support meet.</w:t>
      </w:r>
    </w:p>
    <w:p>
      <w:pPr>
        <w:spacing w:after="140"/>
      </w:pPr>
      <w:r>
        <w:t xml:space="preserve">I have just completed an empirical study of documentation quality in public-records determinations, covering 32 real cases across court decisions, open-government advisory opinions, state commission decisions and Comptroller compliance audits, with decisions spanning 2005 to 2026. The central result is that a structured read of the record agreed with independent government auditors in every case where both assessments existed, five of five. A manuscript is under submission, and a companion study in a second domain finds the same read associated with whether a decision was sustained on review.</w:t>
      </w:r>
    </w:p>
    <w:p>
      <w:pPr>
        <w:spacing w:after="140"/>
      </w:pPr>
      <w:r>
        <w:t xml:space="preserve">What I would bring to the Technology Committee is the perspective that sits next to the technology question rather than inside it: whether the determinations produced through any given system remain reviewable and defensible after the fact. As the Council builds its inventory of FOIA technology solutions, that companion measure seems worth having in the room, and I would be glad to contribute it alongside the operational experience of running a large city FOIL programme.</w:t>
      </w:r>
    </w:p>
    <w:p>
      <w:pPr>
        <w:spacing w:after="140"/>
      </w:pPr>
      <w:r>
        <w:t xml:space="preserve">I can attend monthly meetings and take on interim individual or small-group work.</w:t>
      </w:r>
    </w:p>
    <w:p>
      <w:pPr>
        <w:spacing w:after="140"/>
      </w:pPr>
      <w:r>
        <w:t xml:space="preserve">Thank you for the opportunity.</w:t>
      </w:r>
    </w:p>
    <w:p>
      <w:pPr>
        <w:spacing w:after="140"/>
      </w:pPr>
      <w:r>
        <w:t xml:space="preserve">Stacy Young</w:t>
      </w:r>
    </w:p>
    <w:p>
      <w:pPr>
        <w:spacing w:after="140"/>
      </w:pPr>
      <w:r>
        <w:t xml:space="preserve">Deputy Records Access Officer</w:t>
      </w:r>
    </w:p>
    <w:p>
      <w:pPr>
        <w:spacing w:after="140"/>
      </w:pPr>
      <w:r>
        <w:t xml:space="preserve">NYC Department of Housing Preservation and Development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