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PARTICIPANT INVENTORY BY RUNG</w:t>
      </w:r>
    </w:p>
    <w:p>
      <w:pPr>
        <w:spacing w:after="140"/>
      </w:pPr>
      <w:r>
        <w:rPr>
          <w:b/>
        </w:rPr>
        <w:t xml:space="preserve">Everyone and everything that has produced evidence for JRS, laid out along the evidence ladder rather than by study number. Generated by `research/build_participant_inventory.py`. Human rows are read from the roster CSV, not re-transcribed, so this file and the reviewer roster cannot disagree about a person.</w:t>
      </w:r>
    </w:p>
    <w:p>
      <w:pPr>
        <w:spacing w:after="140"/>
      </w:pPr>
      <w:r>
        <w:t xml:space="preserve">&gt; </w:t>
      </w:r>
      <w:r>
        <w:rPr>
          <w:b/>
        </w:rPr>
        <w:t xml:space="preserve">OWNER COPY. DO NOT FORWARD.</w:t>
      </w:r>
      <w:r>
        <w:t xml:space="preserve"> The Arm B section shows the arm split, and </w:t>
      </w:r>
      <w:r>
        <w:rPr>
          <w:b/>
        </w:rPr>
        <w:t xml:space="preserve">the split is the blind.</w:t>
      </w:r>
      <w:r>
        <w:t xml:space="preserve"> Everything public or buyer-facing is counts only.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The ladder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 xml:space="preserve">Rung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Question it answers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Judged by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Participants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Rung 1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Do independent AI models apply JRS alike?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AI models, no humans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 models across 3 vendors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Rung 2a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Do independent human reviewers agree with one another?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Humans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25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Rung 2b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Do reads match a key fixed before scoring?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Humans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16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Arm B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Does JRS improve on unaided review?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Humans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20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Rung 3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Do flagged records fail when challenged?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b/>
              </w:rPr>
              <w:t xml:space="preserve">Case contributors, not reviewers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2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Rung 1 and Rung 3 carry no reviewer panel of their own.</w:t>
      </w:r>
      <w:r>
        <w:t xml:space="preserve"> That is why neither appears in </w:t>
      </w:r>
      <w:r>
        <w:rPr>
          <w:rFonts w:ascii="Consolas" w:hAnsi="Consolas"/>
        </w:rPr>
        <w:t xml:space="preserve">REVIEWER_ROSTER_COMPLETE.md</w:t>
      </w:r>
      <w:r>
        <w:t xml:space="preserve">, and it is a property of the design rather than a gap in the record.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Rung 1: Reproducibility</w:t>
      </w:r>
    </w:p>
    <w:p>
      <w:pPr>
        <w:spacing w:after="140"/>
      </w:pPr>
      <w:r>
        <w:rPr>
          <w:b/>
        </w:rPr>
        <w:t xml:space="preserve">Judged by machines.</w:t>
      </w:r>
      <w:r>
        <w:t xml:space="preserve"> Each constructed record is put to one model per provider, and the measure is how often independent vendors return the same read. Runs nightly from </w:t>
      </w:r>
      <w:r>
        <w:rPr>
          <w:rFonts w:ascii="Consolas" w:hAnsi="Consolas"/>
        </w:rPr>
        <w:t xml:space="preserve">api/run-study.js</w:t>
      </w:r>
      <w:r>
        <w:t xml:space="preserve">, so the figure is continuously re-checked rather than frozen.</w:t>
      </w:r>
    </w:p>
    <w:p>
      <w:pPr>
        <w:spacing w:after="140"/>
      </w:pPr>
      <w:r>
        <w:rPr>
          <w:b/>
        </w:rPr>
        <w:t xml:space="preserve">The panel, from the most recent recorded run (2026-08-12T06:29:06.488173+00:00):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Vendor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Model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anthropic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claude-opus-4-8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openai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gpt-5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google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gemini-flash-latest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Mode: </w:t>
      </w:r>
      <w:r>
        <w:rPr>
          <w:b/>
        </w:rPr>
        <w:t xml:space="preserve">cross_vendor</w:t>
      </w:r>
      <w:r>
        <w:t xml:space="preserve">. With a non-Claude key present the harness runs cross-vendor and escalates a label only when two or more vendors agree; with neither present it falls back to three same-provider models, which is a weaker independence signal and is labelled as such.</w:t>
      </w:r>
    </w:p>
    <w:p>
      <w:pPr>
        <w:spacing w:after="140"/>
      </w:pPr>
      <w:r>
        <w:rPr>
          <w:b/>
        </w:rPr>
        <w:t xml:space="preserve">Human participants: none, by design.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Rung 2a: Reliability</w:t>
      </w:r>
    </w:p>
    <w:p>
      <w:pPr>
        <w:spacing w:after="140"/>
      </w:pPr>
      <w:r>
        <w:rPr>
          <w:i/>
        </w:rPr>
        <w:t xml:space="preserve">Do independent human reviewers agree with one another?</w:t>
      </w:r>
    </w:p>
    <w:p>
      <w:pPr>
        <w:spacing w:after="140"/>
      </w:pPr>
      <w:r>
        <w:t xml:space="preserve">The reliability raters. Identity is limited by design: </w:t>
      </w:r>
      <w:r>
        <w:rPr>
          <w:rFonts w:ascii="Consolas" w:hAnsi="Consolas"/>
        </w:rPr>
        <w:t xml:space="preserve">bench_labels</w:t>
      </w:r>
      <w:r>
        <w:t xml:space="preserve"> stores a code, a self-declared domain and the labels, with no name, title or country. The R- codes were generated in the browser and </w:t>
      </w:r>
      <w:r>
        <w:rPr>
          <w:b/>
        </w:rPr>
        <w:t xml:space="preserve">were never bound to an identity at all</w:t>
      </w:r>
      <w:r>
        <w:t xml:space="preserve">, so for those no name exists anywhere to recover.</w:t>
      </w:r>
    </w:p>
    <w:p>
      <w:pPr>
        <w:spacing w:after="140"/>
      </w:pPr>
      <w:r>
        <w:rPr>
          <w:b/>
        </w:rPr>
        <w:t xml:space="preserve">25 participants, 7 named, 0 complete.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</w:tcPr>
          <w:p>
            <w:pPr>
              <w:spacing w:after="0"/>
            </w:pPr>
            <w:r>
              <w:t xml:space="preserve">Code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Arm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Title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Country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Reads / labels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R-mqa2qg2g9gtz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AI Governance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R-mqa4a9ewsfr8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Other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3 labels on 3 records, first 2026-06-11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R-mqal7tzzwpy5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Other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9 labels on 5 records, first 2026-06-12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R-mqb8ye82rcmw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AI Governance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2026-06-12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R-mqbsllcmqh6n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HR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2026-06-13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R-mqc70xbh96yc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Other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2026-06-13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R-mqcfb4p9lbji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HR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7 labels on 5 records, first 2026-06-13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R-mqgufe1fqup8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Other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7 labels on 5 records, first 2026-06-16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R-mqhv2o4r8nct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AI Governance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2026-06-17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R-mqifd9ia9dsq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AI Governance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6 labels on 5 records, first 2026-06-17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R-mqkvqo8kcu04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Quality Assurance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2026-06-19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R-mqmhtalpwuhb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Management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2026-06-20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R-mqn414vzho7i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Management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6 labels on 5 records, first 2026-06-21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R-mqnibu38bbxi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Other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2026-06-21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R-mqq7jo173iob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Other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2026-06-23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R-mqxqi8i3ukt1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Inny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2026-06-28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R-msqz6n7fgzwc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bench reviewer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design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Other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2026-08-13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E-03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Andrzej Skulski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Founder, Dom Ciszy - Resonance Lab; AI Governance and Decision Systems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2026-06-12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E-08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Stacy Young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Deputy Records Access Officer, NYC Dept. of Housing Preservation and Development; records governance and FOIL administration; 22 years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E-09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Dr Nitin Deshpande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Chief Human Resources Officer, Cooper Corporation Pvt. Ltd.; 38+ years HR and industrial relations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2026-06-14; same person as V-AI-06 in Study 011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E-10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Rahul Potdar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Independent Director (IICA Certified); Corporate Governance, Risk Management and ESG Strategy; Board Adviser; Leontra Technologies; IIM Raipur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2026-06-20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E-11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no identity on record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self-declared domain: AI Governance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1 labels on 1 records, first 2026-06-24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E-12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Saurabh Nanda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General Manager, APAC Business Leader, Align Technology; 22+ years P&amp;L leadership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2026-06-30; same person as V-AI-07 in Study 011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E-13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Frank Schouten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Assurance; Interim Steering Committee, AI Execution Governance Forum; CAMA-certified ISO 55001 assessor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Australia (Perth)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2026-06-30; same person as V-AI-03 in Study 011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E-14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expert rater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Alankar Yaduvanshi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Data Privacy Professional (CIPP-E), WNS; 8+ years data privacy and corporate compliance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5 labels on 5 records, first 2026-06-30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Rung 2b: Accuracy / Detection</w:t>
      </w:r>
    </w:p>
    <w:p>
      <w:pPr>
        <w:spacing w:after="140"/>
      </w:pPr>
      <w:r>
        <w:rPr>
          <w:i/>
        </w:rPr>
        <w:t xml:space="preserve">Do reviewer reads match a key fixed before scoring?</w:t>
      </w:r>
    </w:p>
    <w:p>
      <w:pPr>
        <w:spacing w:after="140"/>
      </w:pPr>
      <w:r>
        <w:t xml:space="preserve">The detection panel, scored against a held-out key.</w:t>
      </w:r>
    </w:p>
    <w:p>
      <w:pPr>
        <w:spacing w:after="140"/>
      </w:pPr>
      <w:r>
        <w:rPr>
          <w:b/>
        </w:rPr>
        <w:t xml:space="preserve">16 participants, 16 named, 16 complete.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</w:tcPr>
          <w:p>
            <w:pPr>
              <w:spacing w:after="0"/>
            </w:pPr>
            <w:r>
              <w:t xml:space="preserve">Code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Arm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Title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Country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Reads / labels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V-AI-01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Jake McDonough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governance, self-accountable AI runtimes; SAEONYX Global Holdings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V-AI-03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Frank Schouten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Assurance; risk and accountability; AEGF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Australia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V-AI-06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Dr Nitin Deshpande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Chief Human Resources Officer; 38+ years HR and industrial relations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V-AI-07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Saurabh Nanda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General Manager, APAC business leader (P&amp;L); Align Technology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31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V-AI-08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Gabriela Cortez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Civil-rights records and bilingual intake; Maryland Commission on Civil Rights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V-AI-10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Lawal Olabanji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Operations and records management; ALTV Engineering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Nigeria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V-AI-11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Andrey Ekhmenin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Founder, EAS; governance diagnostics and post-execution review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Poland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V-AI-12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Kyle McMullan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Chief Audit Executive; internal audit and financial crimes; the audit hub, London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United Kingdom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V-AI-16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Dr Gabriela Bar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Attorney, PhD; AI ethics advisor (EU); Gabriela Bar Law &amp; AI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Poland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Hekim Colpan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Compliance Manager; ISO/IEC 42001 auditor; EU AI Act, GDPR, DORA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Germany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Niloofar Kandi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Strategy Specialist; ISO/IEC 42001 Lead Implementer; PhD Researcher, University of Wollongong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Australia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46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SungSoo In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Responsible AI; author, Athena Governance Architecture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South Korea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48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Sidharth Borah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Advocate, High Court of Delhi (13+ years); Partner, Gurinder &amp; Partners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48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Nigel Hee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Ethics, Safety and Governance; Co-founder, OpenNexus; researcher, University of Glasgow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Singapore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48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V-AI-29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Marguerite Maroudis, PhD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and Law Expert; DPO and AI Governance Consultant; PhD Private Law; Founder, TechLegalExperts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UAE (Dubai)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48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V-AI-30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Andres Lage Freire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Lead and Responsible AI Architect; EU AI Act, ISO 42001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Spain (Madrid)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Arm B: Controlled comparison</w:t>
      </w:r>
    </w:p>
    <w:p>
      <w:pPr>
        <w:spacing w:after="140"/>
      </w:pPr>
      <w:r>
        <w:rPr>
          <w:i/>
        </w:rPr>
        <w:t xml:space="preserve">Does JRS improve on unaided review?</w:t>
      </w:r>
    </w:p>
    <w:p>
      <w:pPr>
        <w:spacing w:after="140"/>
      </w:pPr>
      <w:r>
        <w:t xml:space="preserve">The randomized comparison. </w:t>
      </w:r>
      <w:r>
        <w:rPr>
          <w:b/>
        </w:rPr>
        <w:t xml:space="preserve">The B1 / B2 split is the blind and must not leave this file.</w:t>
      </w:r>
    </w:p>
    <w:p>
      <w:pPr>
        <w:spacing w:after="140"/>
      </w:pPr>
      <w:r>
        <w:rPr>
          <w:b/>
        </w:rPr>
        <w:t xml:space="preserve">20 participants, 18 named, 20 complete.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w="1337" w:type="dxa"/>
          </w:tcPr>
          <w:p>
            <w:pPr>
              <w:spacing w:after="0"/>
            </w:pPr>
            <w:r>
              <w:t xml:space="preserve">Code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Arm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Name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Title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Country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Reads / labels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Status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RR-104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Donavine Smith, MBA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Chief Strategy and Transformation Officer; frontier AI strategy and governance; NED, Rape Crisis Cape Town Trust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South Africa (Pretoria)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RR-106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Nicholas Evans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Runtime Auditor; adversarial and non-adversarial testing; ex-USMC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RR-113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Priyam Dhamankar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Ethics and Compliance Leader, Cummins India; 17+ years legal, compliance and investigations across pharmaceutical and industrial sectors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India (Mumbai)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RR-117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Alexandria Davis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Responsible AI and Compliance Leader; Founder and Principal Consultant, FIEA Consulting Inc.; DBA candidate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Canada (Toronto)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Adesh Sharma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Data and AI Governance Leader, Digital Frontier Partners; IAPP AIGP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Australia (Melbourne)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Joseph Mungai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Public-Interest Technology and AI Ethics/Governance Professional; Maasai Mara University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Kenya (Kitale)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RR-128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Sagarika Banerjee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Software QA Leader; ISO/IEC 42001, NIST AI RMF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Canada (Toronto)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RR-101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Boris Khazin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Governance, Digital Risk and GRC leader; ClearView MRI; ex-EPAM Global Head of DRM/GRC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US (North Carolina)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RR-107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Tuneer Mondal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AI, HealthTech and Governance; Consultant, Operations and AI Solutions; Arcadia Impact; University of Cambridge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Canada (Waterloo)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RR-109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Mostafa Mahmoudi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Researcher; Founder and Director, Iran Tech Diplomacy Institute; PhD candidate, University of Tehran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Iran (Tehran)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RR-110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Jean-Luc Adade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Regional IT Leader, West, Central and North Africa; IT governance and digital transformation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Cote d'Ivoire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RR-114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MacKenzie McCowan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Specialist, Atomi; PhD candidate, University of Sydney; Sessional Lecturer, Avondale University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Australia (Sydney)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RR-116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Dr. Eric J. W. Orlowski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Specialist, Ethnographer, Tech Policy Researcher; Research Fellow, NUS AI Institute; PhD, UCL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Singapore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RR-121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Dr Sharon Licqurish, PhD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CEO, Chief Scientist and AI Governance Architect, AIIP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Australia (Melbourne)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RR-123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Greg Searle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AI Governance and Model Behaviour Researcher; Master's candidate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Australia (Brisbane)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RR-125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Muhammad Dauda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Programme leadership, sustainability and governance; UN SDSN Youth Nigeria; Miva Open University; PgMP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Nigeria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RR-127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Candid Opris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Founder and Managing Partner, Opris &amp; Associates; two decades in AI and data governance and digital trust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Canada (Greater Toronto Area)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RR-129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Wendy Ann Martel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Data protection, privacy and AI governance; twenty five years of public and private sector practice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RR-130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choice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JRS-naive expert professional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  <w:tr>
        <w:tc>
          <w:tcPr>
            <w:tcW w:w="1337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RR-132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B2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rPr>
                <w:i/>
              </w:rPr>
              <w:t xml:space="preserve">Anonymous by choice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JRS-naive expert professional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not recorded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24</w:t>
            </w:r>
          </w:p>
        </w:tc>
        <w:tc>
          <w:tcPr>
            <w:tcW w:w="1337" w:type="dxa"/>
          </w:tcPr>
          <w:p>
            <w:pPr>
              <w:spacing w:after="0"/>
            </w:pPr>
            <w:r>
              <w:t xml:space="preserve">COMPLETE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Rung 3: Criterion validity</w:t>
      </w:r>
    </w:p>
    <w:p>
      <w:pPr>
        <w:spacing w:after="140"/>
      </w:pPr>
      <w:r>
        <w:rPr>
          <w:i/>
        </w:rPr>
        <w:t xml:space="preserve">Do flagged records actually fail when challenged?</w:t>
      </w:r>
    </w:p>
    <w:p>
      <w:pPr>
        <w:spacing w:after="140"/>
      </w:pPr>
      <w:r>
        <w:rPr>
          <w:b/>
        </w:rPr>
        <w:t xml:space="preserve">Carried by case contributors, not reviewers.</w:t>
      </w:r>
      <w:r>
        <w:t xml:space="preserve"> A contributor submits real, de-identified records together with their documented outcome, so a JRS read can be compared against what actually happened. Read live from </w:t>
      </w:r>
      <w:r>
        <w:rPr>
          <w:rFonts w:ascii="Consolas" w:hAnsi="Consolas"/>
        </w:rPr>
        <w:t xml:space="preserve">realcase_progress</w:t>
      </w:r>
      <w:r>
        <w:t xml:space="preserve">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c>
          <w:tcPr>
            <w:tcW w:w="936" w:type="dxa"/>
          </w:tcPr>
          <w:p>
            <w:pPr>
              <w:spacing w:after="0"/>
            </w:pPr>
            <w:r>
              <w:t xml:space="preserve">Domain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Contributor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Cases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Challenged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Failed appeal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Held up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JRS ready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JRS review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JRS gap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Last case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Public records / FOIL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E-08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rPr>
                <w:b/>
              </w:rPr>
              <w:t xml:space="preserve">32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18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9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5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2026-08-08</w:t>
            </w:r>
          </w:p>
        </w:tc>
      </w:tr>
      <w:tr>
        <w:tc>
          <w:tcPr>
            <w:tcW w:w="936" w:type="dxa"/>
          </w:tcPr>
          <w:p>
            <w:pPr>
              <w:spacing w:after="0"/>
            </w:pPr>
            <w:r>
              <w:t xml:space="preserve">HR / Employment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V-HR-01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rPr>
                <w:b/>
              </w:rPr>
              <w:t xml:space="preserve">22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7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13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6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936" w:type="dxa"/>
          </w:tcPr>
          <w:p>
            <w:pPr>
              <w:spacing w:after="0"/>
            </w:pPr>
            <w:r>
              <w:t xml:space="preserve">2026-07-29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2 contributors, 54 cases in total.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Cross-check against production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340"/>
        <w:gridCol w:w="2340"/>
        <w:gridCol w:w="2340"/>
        <w:gridCol w:w="2340"/>
      </w:tblGrid>
      <w:tr>
        <w:tc>
          <w:tcPr>
            <w:tcW w:w="2340" w:type="dxa"/>
          </w:tcPr>
          <w:p>
            <w:pPr>
              <w:spacing w:after="0"/>
            </w:pPr>
            <w:r>
              <w:t xml:space="preserve">Figure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This inventory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/api/panel-stats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Agree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Reviewers who have graded records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58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58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Completed a full 24-record set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36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yes</w:t>
            </w:r>
          </w:p>
        </w:tc>
      </w:tr>
      <w:tr>
        <w:tc>
          <w:tcPr>
            <w:tcW w:w="2340" w:type="dxa"/>
          </w:tcPr>
          <w:p>
            <w:pPr>
              <w:spacing w:after="0"/>
            </w:pPr>
            <w:r>
              <w:t xml:space="preserve">Countries, completers only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16</w:t>
            </w:r>
          </w:p>
        </w:tc>
        <w:tc>
          <w:tcPr>
            <w:tcW w:w="2340" w:type="dxa"/>
          </w:tcPr>
          <w:p>
            <w:pPr>
              <w:spacing w:after="0"/>
            </w:pPr>
            <w:r>
              <w:t xml:space="preserve">yes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61 rows in the roster, 41 named.</w:t>
      </w:r>
      <w:r>
        <w:t xml:space="preserve"> 3 completers carry no country and are counted in the total and in no country.</w:t>
      </w:r>
    </w:p>
    <w:p>
      <w:pPr>
        <w:spacing w:after="140"/>
      </w:pPr>
      <w:r>
        <w:rPr>
          <w:b/>
        </w:rPr>
        <w:t xml:space="preserve">The country figure belongs to the completers, never to the 58 reviewers.</w:t>
      </w:r>
      <w:r>
        <w:t xml:space="preserve"> That is a recorded past defect and it still binds.</w:t>
      </w:r>
    </w:p>
    <w:p>
      <w:pPr>
        <w:pBdr>
          <w:bottom w:val="single" w:sz="6" w:space="1" w:color="AAAAAA"/>
        </w:pBdr>
      </w:pPr>
    </w:p>
    <w:p>
      <w:pPr>
        <w:spacing w:after="140"/>
      </w:pPr>
      <w:r>
        <w:rPr>
          <w:i/>
        </w:rPr>
        <w:t xml:space="preserve">Human rows sourced from `Expert_Roster_All_Studies_2026-08-06.csv`. Real-case rows and the Rung 1 model set read live. Every field that could not be sourced is written as not recorded rather than guessed.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