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w:t>
      </w:r>
    </w:p>
    <w:p>
      <w:pPr>
        <w:spacing w:after="140"/>
      </w:pPr>
      <w:r>
        <w:rPr>
          <w:rFonts w:ascii="Consolas" w:hAnsi="Consolas"/>
        </w:rPr>
        <w:t xml:space="preserve">research/Ubayet_CoAuthor_Package_2026-08-18.md</w:t>
      </w:r>
      <w:r>
        <w:t xml:space="preserve">. Carries the four claim-level changes, the Appendix C result, what is deliberately withheld and why, his attribution as it currently stands, and the verification state.</w:t>
      </w:r>
    </w:p>
    <w:p>
      <w:pPr>
        <w:spacing w:after="140"/>
      </w:pPr>
      <w:r>
        <w:rPr>
          <w:b/>
        </w:rPr>
        <w:t xml:space="preserve">One open question is put to him and only him:</w:t>
      </w:r>
      <w:r>
        <w:t xml:space="preserve"> whether the analysis plan specified the analytic or the bootstrap interval as primary for the reliability floor. The paper says analytic and therefore reports the criterion as failed. If the plan said bootstrap, the expert panel clears at 0.427 and Section 6.5 is rewritten.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