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A Documentation-Quality Read for Public-Records Determinations: Convergent, Construct, and Discriminant Evidence from 32 Real FOIL Cases</w:t>
      </w:r>
    </w:p>
    <w:p>
      <w:pPr>
        <w:spacing w:after="140"/>
      </w:pPr>
      <w:r>
        <w:rPr>
          <w:b/>
        </w:rPr>
        <w:t xml:space="preserve">Stacy Young</w:t>
      </w:r>
    </w:p>
    <w:p>
      <w:pPr>
        <w:spacing w:after="140"/>
      </w:pPr>
      <w:r>
        <w:t xml:space="preserve">Records Governance Advisor and Public-Records Domain Lead; Deputy Records Access Officer, New York City Department of Housing Preservation and Development</w:t>
      </w:r>
    </w:p>
    <w:p>
      <w:pPr>
        <w:spacing w:after="140"/>
      </w:pPr>
      <w:r>
        <w:rPr>
          <w:b/>
        </w:rPr>
        <w:t xml:space="preserve">Phillip Wikes</w:t>
      </w:r>
    </w:p>
    <w:p>
      <w:pPr>
        <w:spacing w:after="140"/>
      </w:pPr>
      <w:r>
        <w:t xml:space="preserve">Creator of the Justification Review Standard; former Lead Civil Rights Officer, Maryland Commission on Civil Rights</w:t>
      </w:r>
    </w:p>
    <w:p>
      <w:pPr>
        <w:spacing w:after="140"/>
      </w:pPr>
      <w:r>
        <w:rPr>
          <w:b/>
        </w:rPr>
        <w:t xml:space="preserve">Author contributions.</w:t>
      </w:r>
      <w:r>
        <w:t xml:space="preserve"> S.Y. designed the public-records case protocol, selected and screened all 32 determinations, recorded the read and its contemporaneous basis note for each case blind to the documented outcome, recorded the outcomes and citations, and leads the public-records framing. P.W. developed the review standard and the Decision Reconstruction Risk construct, designed the pilot, ran the analyses, and co-wrote the manuscript.</w:t>
      </w:r>
    </w:p>
    <w:p>
      <w:pPr>
        <w:spacing w:after="140"/>
      </w:pPr>
      <w:r>
        <w:rPr>
          <w:b/>
        </w:rPr>
        <w:t xml:space="preserve">Disclosure.</w:t>
      </w:r>
      <w:r>
        <w:t xml:space="preserve"> Both authors contribute in a personal professional capacity. The views expressed are their own and do not represent the position of any employer or institution. No funding was received for this work.</w:t>
      </w:r>
    </w:p>
    <w:p>
      <w:pPr>
        <w:pBdr>
          <w:bottom w:val="single" w:sz="6" w:space="1" w:color="AAAAAA"/>
        </w:pBdr>
      </w:pPr>
    </w:p>
    <w:p>
      <w:pPr>
        <w:pStyle w:val="Heading2"/>
        <w:spacing w:after="140"/>
      </w:pPr>
      <w:r>
        <w:t xml:space="preserve">Abstract</w:t>
      </w:r>
    </w:p>
    <w:p>
      <w:pPr>
        <w:spacing w:after="140"/>
      </w:pPr>
      <w:r>
        <w:t xml:space="preserve">Public-records determinations are reviewed constantly: on administrative appeal, before open-government bodies, in litigation, and in compliance audits. A determination can read as complete and still fail when the reviewer cannot rebuild its basis from the record itself. As agencies inventory and modernize FOIA technology, a second question runs alongside the first, and almost nothing measures it: whether the records the tools help produce stay independently reviewable.</w:t>
      </w:r>
    </w:p>
    <w:p>
      <w:pPr>
        <w:spacing w:after="140"/>
      </w:pPr>
      <w:r>
        <w:t xml:space="preserve">We tested a structured, record-level documentation read on 32 real public-records cases drawn from four document classes and two states, collected between 26 June and 8 August 2026. For each case the read (Ready, Needs work, or Gap) and a short note giving the basis for that read were recorded from the source alone, before the documented outcome was consulted.</w:t>
      </w:r>
    </w:p>
    <w:p>
      <w:pPr>
        <w:spacing w:after="140"/>
      </w:pPr>
      <w:r>
        <w:t xml:space="preserve">Three findings, none of them about who won.</w:t>
      </w:r>
    </w:p>
    <w:p>
      <w:pPr>
        <w:spacing w:after="140"/>
      </w:pPr>
      <w:r>
        <w:t xml:space="preserve">The read agreed with independent government auditors in every case where both instruments were available. All five compliance audits in the sample received a Gap read, and in all five the state or city Comptroller had separately recorded that the agency could not evidence its own FOIL responses.</w:t>
      </w:r>
    </w:p>
    <w:p>
      <w:pPr>
        <w:spacing w:after="140"/>
      </w:pPr>
      <w:r>
        <w:t xml:space="preserve">The read tracked reconstructability rather than outcome. Six of nine Needs work cases carry a note stating that the underlying record-level basis could not be rebuilt from the source, against none of eighteen Ready cases, and eleven of the eighteen Ready notes state the opposite outright (Fisher's exact, two-sided, p = 0.00028).</w:t>
      </w:r>
    </w:p>
    <w:p>
      <w:pPr>
        <w:spacing w:after="140"/>
      </w:pPr>
      <w:r>
        <w:t xml:space="preserve">The read separated document classes by how much basis each one exposes. Sources that reproduce the determination text read Ready in six of seven cases; sources that assessed the underlying records in camera or in aggregate read Ready in none of seven (p = 0.00466). Gap reads concentrate entirely in programme-level audits, five of five, against none of twenty-seven case-level sources (p = 0.0000050).</w:t>
      </w:r>
    </w:p>
    <w:p>
      <w:pPr>
        <w:spacing w:after="140"/>
      </w:pPr>
      <w:r>
        <w:t xml:space="preserve">A fourth analysis, testing the read against whether the agency prevailed on appeal, is null (p = 1.000). Given the first three findings that is the expected relationship: reconstructability and appellate disposition measure different things, and published decisions are selected for contested legal questions rather than for thin files. Applied by a different reviewer in an employment-law corpus that is not filtered by publication, the same instrument does show the association (7 of 9 flagged records drew an adverse finding against 2 of 13 passed records, p = 0.0073), which is consistent with that boundary condition rather than with a weak instrument.</w:t>
      </w:r>
    </w:p>
    <w:p>
      <w:pPr>
        <w:spacing w:after="140"/>
      </w:pPr>
      <w:r>
        <w:t xml:space="preserve">The pilot contributes a working protocol for measuring documentation quality in a public-records programme, a completed and citable 32-case set, and evidence that the read measures the property it claims to measure.</w:t>
      </w:r>
    </w:p>
    <w:p>
      <w:pPr>
        <w:spacing w:after="140"/>
      </w:pPr>
      <w:r>
        <w:rPr>
          <w:b/>
        </w:rPr>
        <w:t xml:space="preserve">Keywords:</w:t>
      </w:r>
      <w:r>
        <w:t xml:space="preserve"> FOIA; FOIL; public records; documentation quality; decision defensibility; records governance; administrative review; convergent validity.</w:t>
      </w:r>
    </w:p>
    <w:p>
      <w:pPr>
        <w:pBdr>
          <w:bottom w:val="single" w:sz="6" w:space="1" w:color="AAAAAA"/>
        </w:pBdr>
      </w:pPr>
    </w:p>
    <w:p>
      <w:pPr>
        <w:pStyle w:val="Heading2"/>
        <w:spacing w:after="140"/>
      </w:pPr>
      <w:r>
        <w:t xml:space="preserve">1. Introduction</w:t>
      </w:r>
    </w:p>
    <w:p>
      <w:pPr>
        <w:spacing w:after="140"/>
      </w:pPr>
      <w:r>
        <w:t xml:space="preserve">A records officer who denies, redacts, or partially grants a request writes a determination. That determination is the artifact everyone downstream reads: the appeals officer, the open-government commission, the court on Article 78 review, the auditor sampling the programme. None of them re-interview the officer's memory. They read the record.</w:t>
      </w:r>
    </w:p>
    <w:p>
      <w:pPr>
        <w:spacing w:after="140"/>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actually did when someone asks.</w:t>
      </w:r>
    </w:p>
    <w:p>
      <w:pPr>
        <w:spacing w:after="140"/>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unreconstructable determinations does not reduce reversals or audit findings, and may increase them.</w:t>
      </w:r>
    </w:p>
    <w:p>
      <w:pPr>
        <w:spacing w:after="140"/>
      </w:pPr>
      <w:r>
        <w:t xml:space="preserve">Very little measures the second thing. Two agencies can run the same case-management system and produce determinations of very different defensibility. This pilot tests an instrument aimed at that gap: a structured read of the record, applied without regard to the workflow or the tool that produced it.</w:t>
      </w:r>
    </w:p>
    <w:p>
      <w:pPr>
        <w:pStyle w:val="Heading2"/>
        <w:spacing w:after="140"/>
      </w:pPr>
      <w:r>
        <w:t xml:space="preserve">2. Research questions</w:t>
      </w:r>
    </w:p>
    <w:p>
      <w:pPr>
        <w:numPr>
          <w:ilvl w:val="0"/>
          <w:numId w:val="2"/>
        </w:numPr>
        <w:spacing w:after="60"/>
      </w:pPr>
      <w:r>
        <w:t xml:space="preserve">Can the review conditions be applied to real public-records material across document classes and jurisdictions, and do they produce a full range of reads?</w:t>
      </w:r>
    </w:p>
    <w:p>
      <w:pPr>
        <w:numPr>
          <w:ilvl w:val="0"/>
          <w:numId w:val="2"/>
        </w:numPr>
        <w:spacing w:after="60"/>
      </w:pPr>
      <w:r>
        <w:t xml:space="preserve">Where an independent adjudicator has assessed the sufficiency of the same records, does the read agree?</w:t>
      </w:r>
    </w:p>
    <w:p>
      <w:pPr>
        <w:numPr>
          <w:ilvl w:val="0"/>
          <w:numId w:val="2"/>
        </w:numPr>
        <w:spacing w:after="60"/>
      </w:pPr>
      <w:r>
        <w:t xml:space="preserve">What drives the read, and is it the property the instrument claims to measure?</w:t>
      </w:r>
    </w:p>
    <w:p>
      <w:pPr>
        <w:pStyle w:val="Heading2"/>
        <w:spacing w:after="140"/>
      </w:pPr>
      <w:r>
        <w:t xml:space="preserve">3. The instrument</w:t>
      </w:r>
    </w:p>
    <w:p>
      <w:pPr>
        <w:spacing w:after="140"/>
      </w:pPr>
      <w:r>
        <w:t xml:space="preserve">The Justification Review Standard (JRS) asks one question of a record: can a later, independent reviewer rebuild how the conclusion was reached from the record alone? 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40"/>
      </w:pPr>
      <w:r>
        <w:t xml:space="preserve">The conditions resolve to a three-level read. Ready, where a later reviewer could rebuild the conclusion from the record alone. Needs work, where the record is partly reconstructable and some basis is visible with gaps. Gap, where the basis is not visible in the record at all.</w:t>
      </w:r>
    </w:p>
    <w:p>
      <w:pPr>
        <w:spacing w:after="140"/>
      </w:pPr>
      <w:r>
        <w:t xml:space="preserve">The risk the standard names is Decision Reconstruction Risk: the condition in which a record cannot, on its own terms, let an independent reviewer rebuild the basis for a consequential decision.</w:t>
      </w:r>
    </w:p>
    <w:p>
      <w:pPr>
        <w:pStyle w:val="Heading2"/>
        <w:spacing w:after="140"/>
      </w:pPr>
      <w:r>
        <w:t xml:space="preserve">4. Methods</w:t>
      </w:r>
    </w:p>
    <w:p>
      <w:pPr>
        <w:pStyle w:val="Heading3"/>
        <w:spacing w:after="140"/>
      </w:pPr>
      <w:r>
        <w:t xml:space="preserve">4.1 Design</w:t>
      </w:r>
    </w:p>
    <w:p>
      <w:pPr>
        <w:spacing w:after="140"/>
      </w:pPr>
      <w:r>
        <w:t xml:space="preserve">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5.3 possible.</w:t>
      </w:r>
    </w:p>
    <w:p>
      <w:pPr>
        <w:pStyle w:val="Heading3"/>
        <w:spacing w:after="140"/>
      </w:pPr>
      <w:r>
        <w:t xml:space="preserve">4.2 Materials</w:t>
      </w:r>
    </w:p>
    <w:p>
      <w:pPr>
        <w:spacing w:after="140"/>
      </w:pPr>
      <w:r>
        <w:t xml:space="preserve">Public material only, de-identified as to any private individual, each case carrying a public citation or source URL. No internal, confidential, or agency-privileged material was used.</w:t>
      </w:r>
    </w:p>
    <w:p>
      <w:pPr>
        <w:pStyle w:val="Heading3"/>
        <w:spacing w:after="140"/>
      </w:pPr>
      <w:r>
        <w:t xml:space="preserve">4.3 Sample</w:t>
      </w:r>
    </w:p>
    <w:p>
      <w:pPr>
        <w:spacing w:after="140"/>
      </w:pPr>
      <w:r>
        <w:t xml:space="preserve">The pre-registered target was 20 to 30 cases with a deliberate spread of outcomes. The achieved sample is 32 cases from 32 distinct public sources, collected 26 June to 8 August 2026, spanning decisions issued between 2005 and 2026 across eleven distinct years.</w:t>
      </w:r>
    </w:p>
    <w:p>
      <w:pPr>
        <w:spacing w:after="140"/>
      </w:pPr>
      <w: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w:t>
      </w:r>
    </w:p>
    <w:p>
      <w:pPr>
        <w:spacing w:after="140"/>
      </w:pPr>
      <w:r>
        <w:t xml:space="preserve">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pPr>
        <w:pStyle w:val="Heading3"/>
        <w:spacing w:after="140"/>
      </w:pPr>
      <w:r>
        <w:t xml:space="preserve">4.4 Outcome coding</w:t>
      </w:r>
    </w:p>
    <w:p>
      <w:pPr>
        <w:spacing w:after="140"/>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p>
      <w:pPr>
        <w:pStyle w:val="Heading3"/>
        <w:spacing w:after="140"/>
      </w:pPr>
      <w:r>
        <w:t xml:space="preserve">4.5 Analyses</w:t>
      </w:r>
    </w:p>
    <w:p>
      <w:pPr>
        <w:spacing w:after="140"/>
      </w:pPr>
      <w:r>
        <w:t xml:space="preserve">Four analyses, in the order reported.</w:t>
      </w:r>
    </w:p>
    <w:p>
      <w:pPr>
        <w:spacing w:after="140"/>
      </w:pPr>
      <w:r>
        <w:t xml:space="preserve">Convergent validity compares the read against the independent adjudicator's own conclusion in the subset where an auditor examined the same agency's records. This is a concordance count rather than a significance test, because the comparison is between two instruments and not between groups.</w:t>
      </w:r>
    </w:p>
    <w:p>
      <w:pPr>
        <w:spacing w:after="140"/>
      </w:pPr>
      <w:r>
        <w:t xml:space="preserve">Construct validity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Association with the read is tested with Fisher's exact test.</w:t>
      </w:r>
    </w:p>
    <w:p>
      <w:pPr>
        <w:spacing w:after="140"/>
      </w:pPr>
      <w:r>
        <w:t xml:space="preserve">Discriminant validity tests the read against document class, using a structural variable rather than the reviewer's own words: whether the source reproduces the determination text or instead assessed the underlying records in camera or in aggregate.</w:t>
      </w:r>
    </w:p>
    <w:p>
      <w:pPr>
        <w:spacing w:after="140"/>
      </w:pPr>
      <w:r>
        <w:t xml:space="preserve">The specification check tests the read against appellate disposition. Cases where the source records no resolved disposition are excluded rather than assigned one.</w:t>
      </w:r>
    </w:p>
    <w:p>
      <w:pPr>
        <w:spacing w:after="140"/>
      </w:pPr>
      <w:r>
        <w:t xml:space="preserve">All reads were recorded by a single domain reviewer, so no inter-rater agreement is estimated. Section 7 treats that as a limitation. All figures are computed from the stored data by a standard-library script, cited in the data-availability statement, which also carries the note-coding frame case by case.</w:t>
      </w:r>
    </w:p>
    <w:p>
      <w:pPr>
        <w:pStyle w:val="Heading2"/>
        <w:spacing w:after="140"/>
      </w:pPr>
      <w:r>
        <w:t xml:space="preserve">5. Results</w:t>
      </w:r>
    </w:p>
    <w:p>
      <w:pPr>
        <w:pStyle w:val="Heading3"/>
        <w:spacing w:after="140"/>
      </w:pPr>
      <w:r>
        <w:t xml:space="preserve">5.1 The instrument applied to real material</w:t>
      </w:r>
    </w:p>
    <w:p>
      <w:pPr>
        <w:spacing w:after="140"/>
      </w:pPr>
      <w:r>
        <w:t xml:space="preserve">Reads across the 32 cases: 18 Ready, 9 Needs work, 5 Gap. Documented outcomes: 15 determinations did not survive review, 7 contested without a recorded disposition, 5 sustained, 5 adverse audit findings.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Read</w:t>
            </w:r>
          </w:p>
        </w:tc>
        <w:tc>
          <w:tcPr>
            <w:tcW w:w="1560" w:type="dxa"/>
          </w:tcPr>
          <w:p>
            <w:pPr>
              <w:spacing w:after="0"/>
            </w:pPr>
            <w:r>
              <w:t xml:space="preserve">Sustained</w:t>
            </w:r>
          </w:p>
        </w:tc>
        <w:tc>
          <w:tcPr>
            <w:tcW w:w="1560" w:type="dxa"/>
          </w:tcPr>
          <w:p>
            <w:pPr>
              <w:spacing w:after="0"/>
            </w:pPr>
            <w:r>
              <w:t xml:space="preserve">Did not survive</w:t>
            </w:r>
          </w:p>
        </w:tc>
        <w:tc>
          <w:tcPr>
            <w:tcW w:w="1560" w:type="dxa"/>
          </w:tcPr>
          <w:p>
            <w:pPr>
              <w:spacing w:after="0"/>
            </w:pPr>
            <w:r>
              <w:t xml:space="preserve">Contested</w:t>
            </w:r>
          </w:p>
        </w:tc>
        <w:tc>
          <w:tcPr>
            <w:tcW w:w="1560" w:type="dxa"/>
          </w:tcPr>
          <w:p>
            <w:pPr>
              <w:spacing w:after="0"/>
            </w:pPr>
            <w:r>
              <w:t xml:space="preserve">Adverse audit</w:t>
            </w:r>
          </w:p>
        </w:tc>
        <w:tc>
          <w:tcPr>
            <w:tcW w:w="1560" w:type="dxa"/>
          </w:tcPr>
          <w:p>
            <w:pPr>
              <w:spacing w:after="0"/>
            </w:pPr>
            <w:r>
              <w:t xml:space="preserve">Total</w:t>
            </w:r>
          </w:p>
        </w:tc>
      </w:tr>
      <w:tr>
        <w:tc>
          <w:tcPr>
            <w:tcW w:w="1560" w:type="dxa"/>
          </w:tcPr>
          <w:p>
            <w:pPr>
              <w:spacing w:after="0"/>
            </w:pPr>
            <w:r>
              <w:t xml:space="preserve">Ready</w:t>
            </w:r>
          </w:p>
        </w:tc>
        <w:tc>
          <w:tcPr>
            <w:tcW w:w="1560" w:type="dxa"/>
          </w:tcPr>
          <w:p>
            <w:pPr>
              <w:spacing w:after="0"/>
            </w:pPr>
            <w:r>
              <w:t xml:space="preserve">3</w:t>
            </w:r>
          </w:p>
        </w:tc>
        <w:tc>
          <w:tcPr>
            <w:tcW w:w="1560" w:type="dxa"/>
          </w:tcPr>
          <w:p>
            <w:pPr>
              <w:spacing w:after="0"/>
            </w:pPr>
            <w:r>
              <w:t xml:space="preserve">10</w:t>
            </w:r>
          </w:p>
        </w:tc>
        <w:tc>
          <w:tcPr>
            <w:tcW w:w="1560" w:type="dxa"/>
          </w:tcPr>
          <w:p>
            <w:pPr>
              <w:spacing w:after="0"/>
            </w:pPr>
            <w:r>
              <w:t xml:space="preserve">5</w:t>
            </w:r>
          </w:p>
        </w:tc>
        <w:tc>
          <w:tcPr>
            <w:tcW w:w="1560" w:type="dxa"/>
          </w:tcPr>
          <w:p>
            <w:pPr>
              <w:spacing w:after="0"/>
            </w:pPr>
            <w:r>
              <w:t xml:space="preserve">0</w:t>
            </w:r>
          </w:p>
        </w:tc>
        <w:tc>
          <w:tcPr>
            <w:tcW w:w="1560" w:type="dxa"/>
          </w:tcPr>
          <w:p>
            <w:pPr>
              <w:spacing w:after="0"/>
            </w:pPr>
            <w:r>
              <w:t xml:space="preserve">18</w:t>
            </w:r>
          </w:p>
        </w:tc>
      </w:tr>
      <w:tr>
        <w:tc>
          <w:tcPr>
            <w:tcW w:w="1560" w:type="dxa"/>
          </w:tcPr>
          <w:p>
            <w:pPr>
              <w:spacing w:after="0"/>
            </w:pPr>
            <w:r>
              <w:t xml:space="preserve">Needs work</w:t>
            </w:r>
          </w:p>
        </w:tc>
        <w:tc>
          <w:tcPr>
            <w:tcW w:w="1560" w:type="dxa"/>
          </w:tcPr>
          <w:p>
            <w:pPr>
              <w:spacing w:after="0"/>
            </w:pPr>
            <w:r>
              <w:t xml:space="preserve">2</w:t>
            </w:r>
          </w:p>
        </w:tc>
        <w:tc>
          <w:tcPr>
            <w:tcW w:w="1560" w:type="dxa"/>
          </w:tcPr>
          <w:p>
            <w:pPr>
              <w:spacing w:after="0"/>
            </w:pPr>
            <w:r>
              <w:t xml:space="preserve">5</w:t>
            </w:r>
          </w:p>
        </w:tc>
        <w:tc>
          <w:tcPr>
            <w:tcW w:w="1560" w:type="dxa"/>
          </w:tcPr>
          <w:p>
            <w:pPr>
              <w:spacing w:after="0"/>
            </w:pPr>
            <w:r>
              <w:t xml:space="preserve">2</w:t>
            </w:r>
          </w:p>
        </w:tc>
        <w:tc>
          <w:tcPr>
            <w:tcW w:w="1560" w:type="dxa"/>
          </w:tcPr>
          <w:p>
            <w:pPr>
              <w:spacing w:after="0"/>
            </w:pPr>
            <w:r>
              <w:t xml:space="preserve">0</w:t>
            </w:r>
          </w:p>
        </w:tc>
        <w:tc>
          <w:tcPr>
            <w:tcW w:w="1560" w:type="dxa"/>
          </w:tcPr>
          <w:p>
            <w:pPr>
              <w:spacing w:after="0"/>
            </w:pPr>
            <w:r>
              <w:t xml:space="preserve">9</w:t>
            </w:r>
          </w:p>
        </w:tc>
      </w:tr>
      <w:tr>
        <w:tc>
          <w:tcPr>
            <w:tcW w:w="1560" w:type="dxa"/>
          </w:tcPr>
          <w:p>
            <w:pPr>
              <w:spacing w:after="0"/>
            </w:pPr>
            <w:r>
              <w:t xml:space="preserve">Gap</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5</w:t>
            </w:r>
          </w:p>
        </w:tc>
        <w:tc>
          <w:tcPr>
            <w:tcW w:w="1560" w:type="dxa"/>
          </w:tcPr>
          <w:p>
            <w:pPr>
              <w:spacing w:after="0"/>
            </w:pPr>
            <w:r>
              <w:t xml:space="preserve">5</w:t>
            </w:r>
          </w:p>
        </w:tc>
      </w:tr>
      <w:tr>
        <w:tc>
          <w:tcPr>
            <w:tcW w:w="1560" w:type="dxa"/>
          </w:tcPr>
          <w:p>
            <w:pPr>
              <w:spacing w:after="0"/>
            </w:pPr>
            <w:r>
              <w:rPr>
                <w:b/>
              </w:rPr>
              <w:t xml:space="preserve">Total</w:t>
            </w:r>
          </w:p>
        </w:tc>
        <w:tc>
          <w:tcPr>
            <w:tcW w:w="1560" w:type="dxa"/>
          </w:tcPr>
          <w:p>
            <w:pPr>
              <w:spacing w:after="0"/>
            </w:pPr>
            <w:r>
              <w:rPr>
                <w:b/>
              </w:rPr>
              <w:t xml:space="preserve">5</w:t>
            </w:r>
          </w:p>
        </w:tc>
        <w:tc>
          <w:tcPr>
            <w:tcW w:w="1560" w:type="dxa"/>
          </w:tcPr>
          <w:p>
            <w:pPr>
              <w:spacing w:after="0"/>
            </w:pPr>
            <w:r>
              <w:rPr>
                <w:b/>
              </w:rPr>
              <w:t xml:space="preserve">15</w:t>
            </w:r>
          </w:p>
        </w:tc>
        <w:tc>
          <w:tcPr>
            <w:tcW w:w="1560" w:type="dxa"/>
          </w:tcPr>
          <w:p>
            <w:pPr>
              <w:spacing w:after="0"/>
            </w:pPr>
            <w:r>
              <w:rPr>
                <w:b/>
              </w:rPr>
              <w:t xml:space="preserve">7</w:t>
            </w:r>
          </w:p>
        </w:tc>
        <w:tc>
          <w:tcPr>
            <w:tcW w:w="1560" w:type="dxa"/>
          </w:tcPr>
          <w:p>
            <w:pPr>
              <w:spacing w:after="0"/>
            </w:pPr>
            <w:r>
              <w:rPr>
                <w:b/>
              </w:rPr>
              <w:t xml:space="preserve">5</w:t>
            </w:r>
          </w:p>
        </w:tc>
        <w:tc>
          <w:tcPr>
            <w:tcW w:w="1560" w:type="dxa"/>
          </w:tcPr>
          <w:p>
            <w:pPr>
              <w:spacing w:after="0"/>
            </w:pPr>
            <w:r>
              <w:rPr>
                <w:b/>
              </w:rPr>
              <w:t xml:space="preserve">32</w:t>
            </w:r>
          </w:p>
        </w:tc>
      </w:tr>
    </w:tbl>
    <w:p>
      <w:pPr/>
      <w:r>
        <w:t/>
      </w:r>
    </w:p>
    <w:p>
      <w:pPr>
        <w:spacing w:after="140"/>
      </w:pPr>
      <w:r>
        <w:t xml:space="preserve">The conditions were applied to 32 live determinations and audits, across four document classes and two states, over decisions spanning twenty-one years, and returned the full three-level range of reads. Every case carries a public URL and 28 of the 32 carry a contemporaneous basis note, mean length 211 characters. That answers the first research question and supplies the applied case set the field did not previously have.</w:t>
      </w:r>
    </w:p>
    <w:p>
      <w:pPr>
        <w:pStyle w:val="Heading3"/>
        <w:spacing w:after="140"/>
      </w:pPr>
      <w:r>
        <w:t xml:space="preserve">5.2 The read agrees with independent auditors, five of five</w:t>
      </w:r>
    </w:p>
    <w:p>
      <w:pPr>
        <w:spacing w:after="140"/>
      </w:pPr>
      <w:r>
        <w:t xml:space="preserve">Five cases are compliance audits in which a state or city Comptroller had independently examined an agency's FOIL programme, using their own methodology and with no knowledge of this study.</w:t>
      </w:r>
    </w:p>
    <w:p>
      <w:pPr>
        <w:spacing w:after="140"/>
      </w:pPr>
      <w:r>
        <w:t xml:space="preserve">All five received a Gap read, recorded from the source before the auditor's conclusion was consulted. In all five the auditor had separately recorded that the agency could not evidence its own FOIL responses.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pPr>
        <w:spacing w:after="140"/>
      </w:pPr>
      <w:r>
        <w:t xml:space="preserve">Concordance is five of five. Two instruments built with no knowledge of each other, a documentation read applied to the source and a government audit applied to the programme, reached the same conclusion in every case where both were available.</w:t>
      </w:r>
    </w:p>
    <w:p>
      <w:pPr>
        <w:spacing w:after="140"/>
      </w:pPr>
      <w:r>
        <w:t xml:space="preserve">Two things this is not. It is not a test of statistical association, because the comparison is between instruments rather than between groups. And five cases are five cases. What it establishes is that the Gap read is reachable on real material, and that where an independent professional adjudicator assessed the same records, the two assessments matched.</w:t>
      </w:r>
    </w:p>
    <w:p>
      <w:pPr>
        <w:pStyle w:val="Heading3"/>
        <w:spacing w:after="140"/>
      </w:pPr>
      <w:r>
        <w:t xml:space="preserve">5.3 The read tracks reconstructability, not outcome</w:t>
      </w:r>
    </w:p>
    <w:p>
      <w:pPr>
        <w:spacing w:after="140"/>
      </w:pPr>
      <w:r>
        <w:t xml:space="preserve">Every read carries a contemporaneous note giving its basis, written before the outcome was known. Coding those notes for one question, whether the note states that the underlying record-level basis could not be rebuilt from the source, produces the clearest result in the study.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Reconstructability failure stated</w:t>
            </w:r>
          </w:p>
        </w:tc>
        <w:tc>
          <w:tcPr>
            <w:tcW w:w="2340" w:type="dxa"/>
          </w:tcPr>
          <w:p>
            <w:pPr>
              <w:spacing w:after="0"/>
            </w:pPr>
            <w:r>
              <w:t xml:space="preserve">Not stated</w:t>
            </w:r>
          </w:p>
        </w:tc>
        <w:tc>
          <w:tcPr>
            <w:tcW w:w="2340" w:type="dxa"/>
          </w:tcPr>
          <w:p>
            <w:pPr>
              <w:spacing w:after="0"/>
            </w:pPr>
            <w:r>
              <w:t xml:space="preserve">Rate</w:t>
            </w:r>
          </w:p>
        </w:tc>
      </w:tr>
      <w:tr>
        <w:tc>
          <w:tcPr>
            <w:tcW w:w="2340" w:type="dxa"/>
          </w:tcPr>
          <w:p>
            <w:pPr>
              <w:spacing w:after="0"/>
            </w:pPr>
            <w:r>
              <w:t xml:space="preserve">Needs work (n = 9)</w:t>
            </w:r>
          </w:p>
        </w:tc>
        <w:tc>
          <w:tcPr>
            <w:tcW w:w="2340" w:type="dxa"/>
          </w:tcPr>
          <w:p>
            <w:pPr>
              <w:spacing w:after="0"/>
            </w:pPr>
            <w:r>
              <w:t xml:space="preserve">6</w:t>
            </w:r>
          </w:p>
        </w:tc>
        <w:tc>
          <w:tcPr>
            <w:tcW w:w="2340" w:type="dxa"/>
          </w:tcPr>
          <w:p>
            <w:pPr>
              <w:spacing w:after="0"/>
            </w:pPr>
            <w:r>
              <w:t xml:space="preserve">3</w:t>
            </w:r>
          </w:p>
        </w:tc>
        <w:tc>
          <w:tcPr>
            <w:tcW w:w="2340" w:type="dxa"/>
          </w:tcPr>
          <w:p>
            <w:pPr>
              <w:spacing w:after="0"/>
            </w:pPr>
            <w:r>
              <w:t xml:space="preserve">66.7%</w:t>
            </w:r>
          </w:p>
        </w:tc>
      </w:tr>
      <w:tr>
        <w:tc>
          <w:tcPr>
            <w:tcW w:w="2340" w:type="dxa"/>
          </w:tcPr>
          <w:p>
            <w:pPr>
              <w:spacing w:after="0"/>
            </w:pPr>
            <w:r>
              <w:t xml:space="preserve">Ready (n = 18)</w:t>
            </w:r>
          </w:p>
        </w:tc>
        <w:tc>
          <w:tcPr>
            <w:tcW w:w="2340" w:type="dxa"/>
          </w:tcPr>
          <w:p>
            <w:pPr>
              <w:spacing w:after="0"/>
            </w:pPr>
            <w:r>
              <w:t xml:space="preserve">0</w:t>
            </w:r>
          </w:p>
        </w:tc>
        <w:tc>
          <w:tcPr>
            <w:tcW w:w="2340" w:type="dxa"/>
          </w:tcPr>
          <w:p>
            <w:pPr>
              <w:spacing w:after="0"/>
            </w:pPr>
            <w:r>
              <w:t xml:space="preserve">18</w:t>
            </w:r>
          </w:p>
        </w:tc>
        <w:tc>
          <w:tcPr>
            <w:tcW w:w="2340" w:type="dxa"/>
          </w:tcPr>
          <w:p>
            <w:pPr>
              <w:spacing w:after="0"/>
            </w:pPr>
            <w:r>
              <w:t xml:space="preserve">0.0%</w:t>
            </w:r>
          </w:p>
        </w:tc>
      </w:tr>
    </w:tbl>
    <w:p>
      <w:pPr/>
      <w:r>
        <w:t/>
      </w:r>
    </w:p>
    <w:p>
      <w:pPr>
        <w:spacing w:after="140"/>
      </w:pPr>
      <w:r>
        <w:t xml:space="preserve">Fisher's exact test, two-sided: p = 0.00028.</w:t>
      </w:r>
    </w:p>
    <w:p>
      <w:pPr>
        <w:spacing w:after="140"/>
      </w:pPr>
      <w:r>
        <w:t xml:space="preserve">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eighteen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pPr>
        <w:spacing w:after="140"/>
      </w:pPr>
      <w:r>
        <w:t xml:space="preserve">No Needs work note contains an affirmative reconstructability statement, and no Ready note contains a reconstructability failure.</w:t>
      </w:r>
    </w:p>
    <w:p>
      <w:pPr>
        <w:spacing w:after="140"/>
      </w:pPr>
      <w:r>
        <w:t xml:space="preserve">That answers the third research question. The reads were driven by the presence or absence of a rebuildable basis, which is the property the instrument is built to detect, and not by who won or by what kind of case it was. The coding is post-hoc, which is why it is reported as construct evidence rather than as a confirmatory test, and the contemporaneous notes are what make it checkable by anyone re-reading the case set.</w:t>
      </w:r>
    </w:p>
    <w:p>
      <w:pPr>
        <w:pStyle w:val="Heading3"/>
        <w:spacing w:after="140"/>
      </w:pPr>
      <w:r>
        <w:t xml:space="preserve">5.4 The read separates document classes by how much basis they expose</w:t>
      </w:r>
    </w:p>
    <w:p>
      <w:pPr>
        <w:spacing w:after="140"/>
      </w:pPr>
      <w:r>
        <w:t xml:space="preserve">The same conclusion can be reached without relying on the reviewer's own words, using a structural feature of each source.</w:t>
      </w:r>
    </w:p>
    <w:p>
      <w:pPr>
        <w:spacing w:after="140"/>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itself. Court decisions summarize it. Both Connecticut decisions turned on records the Commission examined in camera.</w:t>
      </w:r>
    </w:p>
    <w:p>
      <w:pPr>
        <w:spacing w:after="140"/>
      </w:pPr>
      <w:r>
        <w:t xml:space="preserve">Grouping by that structural difference, sources that reproduce the determination text against sources that assessed the underlying records in camera or in aggregate: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w:r>
          </w:p>
        </w:tc>
        <w:tc>
          <w:tcPr>
            <w:tcW w:w="3120" w:type="dxa"/>
          </w:tcPr>
          <w:p>
            <w:pPr>
              <w:spacing w:after="0"/>
            </w:pPr>
            <w:r>
              <w:t xml:space="preserve">Ready</w:t>
            </w:r>
          </w:p>
        </w:tc>
        <w:tc>
          <w:tcPr>
            <w:tcW w:w="3120" w:type="dxa"/>
          </w:tcPr>
          <w:p>
            <w:pPr>
              <w:spacing w:after="0"/>
            </w:pPr>
            <w:r>
              <w:t xml:space="preserve">Not Ready</w:t>
            </w:r>
          </w:p>
        </w:tc>
      </w:tr>
      <w:tr>
        <w:tc>
          <w:tcPr>
            <w:tcW w:w="3120" w:type="dxa"/>
          </w:tcPr>
          <w:p>
            <w:pPr>
              <w:spacing w:after="0"/>
            </w:pPr>
            <w:r>
              <w:t xml:space="preserve">Reproduces the determination text (n = 7)</w:t>
            </w:r>
          </w:p>
        </w:tc>
        <w:tc>
          <w:tcPr>
            <w:tcW w:w="3120" w:type="dxa"/>
          </w:tcPr>
          <w:p>
            <w:pPr>
              <w:spacing w:after="0"/>
            </w:pPr>
            <w:r>
              <w:t xml:space="preserve">6</w:t>
            </w:r>
          </w:p>
        </w:tc>
        <w:tc>
          <w:tcPr>
            <w:tcW w:w="3120" w:type="dxa"/>
          </w:tcPr>
          <w:p>
            <w:pPr>
              <w:spacing w:after="0"/>
            </w:pPr>
            <w:r>
              <w:t xml:space="preserve">1</w:t>
            </w:r>
          </w:p>
        </w:tc>
      </w:tr>
      <w:tr>
        <w:tc>
          <w:tcPr>
            <w:tcW w:w="3120" w:type="dxa"/>
          </w:tcPr>
          <w:p>
            <w:pPr>
              <w:spacing w:after="0"/>
            </w:pPr>
            <w:r>
              <w:t xml:space="preserve">Assessed the records in camera or in aggregate (n = 7)</w:t>
            </w:r>
          </w:p>
        </w:tc>
        <w:tc>
          <w:tcPr>
            <w:tcW w:w="3120" w:type="dxa"/>
          </w:tcPr>
          <w:p>
            <w:pPr>
              <w:spacing w:after="0"/>
            </w:pPr>
            <w:r>
              <w:t xml:space="preserve">0</w:t>
            </w:r>
          </w:p>
        </w:tc>
        <w:tc>
          <w:tcPr>
            <w:tcW w:w="3120" w:type="dxa"/>
          </w:tcPr>
          <w:p>
            <w:pPr>
              <w:spacing w:after="0"/>
            </w:pPr>
            <w:r>
              <w:t xml:space="preserve">7</w:t>
            </w:r>
          </w:p>
        </w:tc>
      </w:tr>
    </w:tbl>
    <w:p>
      <w:pPr/>
      <w:r>
        <w:t/>
      </w:r>
    </w:p>
    <w:p>
      <w:pPr>
        <w:spacing w:after="140"/>
      </w:pPr>
      <w:r>
        <w:t xml:space="preserve">Fisher's exact test, two-sided: p = 0.00466.</w:t>
      </w:r>
    </w:p>
    <w:p>
      <w:pPr>
        <w:spacing w:after="140"/>
      </w:pPr>
      <w:r>
        <w:t xml:space="preserve">Gap reads concentrate completely. All five programme-level audits carry a Gap read; none of the 27 case-level sources does (p = 0.0000050).</w:t>
      </w:r>
    </w:p>
    <w:p>
      <w:pPr>
        <w:spacing w:after="140"/>
      </w:pPr>
      <w:r>
        <w:t xml:space="preserve">The instrument separates document classes by how much reconstructable basis each one carries, in the direction the construct predicts, using a variable independent of the reviewer's notes. Case type and read are not independent in this corpus, which is why Section 5.2 is reported as concordance rather than association, and the same collinearity bounds what Section 5.4 can claim: it shows the read responds to structural differences in the source, not that document class causes the read.</w:t>
      </w:r>
    </w:p>
    <w:p>
      <w:pPr>
        <w:pStyle w:val="Heading3"/>
        <w:spacing w:after="140"/>
      </w:pPr>
      <w:r>
        <w:t xml:space="preserve">5.5 Appellate outcome is a different variable</w:t>
      </w:r>
    </w:p>
    <w:p>
      <w:pPr>
        <w:spacing w:after="140"/>
      </w:pPr>
      <w:r>
        <w:t xml:space="preserve">The specification check tested the read against appellate disposition, on the 20 determinations where the source records a resolved one.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Sustained</w:t>
            </w:r>
          </w:p>
        </w:tc>
        <w:tc>
          <w:tcPr>
            <w:tcW w:w="2340" w:type="dxa"/>
          </w:tcPr>
          <w:p>
            <w:pPr>
              <w:spacing w:after="0"/>
            </w:pPr>
            <w:r>
              <w:t xml:space="preserve">Did not survive</w:t>
            </w:r>
          </w:p>
        </w:tc>
        <w:tc>
          <w:tcPr>
            <w:tcW w:w="2340" w:type="dxa"/>
          </w:tcPr>
          <w:p>
            <w:pPr>
              <w:spacing w:after="0"/>
            </w:pPr>
            <w:r>
              <w:t xml:space="preserve">Sustained rate</w:t>
            </w:r>
          </w:p>
        </w:tc>
      </w:tr>
      <w:tr>
        <w:tc>
          <w:tcPr>
            <w:tcW w:w="2340" w:type="dxa"/>
          </w:tcPr>
          <w:p>
            <w:pPr>
              <w:spacing w:after="0"/>
            </w:pPr>
            <w:r>
              <w:t xml:space="preserve">Ready</w:t>
            </w:r>
          </w:p>
        </w:tc>
        <w:tc>
          <w:tcPr>
            <w:tcW w:w="2340" w:type="dxa"/>
          </w:tcPr>
          <w:p>
            <w:pPr>
              <w:spacing w:after="0"/>
            </w:pPr>
            <w:r>
              <w:t xml:space="preserve">3</w:t>
            </w:r>
          </w:p>
        </w:tc>
        <w:tc>
          <w:tcPr>
            <w:tcW w:w="2340" w:type="dxa"/>
          </w:tcPr>
          <w:p>
            <w:pPr>
              <w:spacing w:after="0"/>
            </w:pPr>
            <w:r>
              <w:t xml:space="preserve">10</w:t>
            </w:r>
          </w:p>
        </w:tc>
        <w:tc>
          <w:tcPr>
            <w:tcW w:w="2340" w:type="dxa"/>
          </w:tcPr>
          <w:p>
            <w:pPr>
              <w:spacing w:after="0"/>
            </w:pPr>
            <w:r>
              <w:t xml:space="preserve">23.1%</w:t>
            </w:r>
          </w:p>
        </w:tc>
      </w:tr>
      <w:tr>
        <w:tc>
          <w:tcPr>
            <w:tcW w:w="2340" w:type="dxa"/>
          </w:tcPr>
          <w:p>
            <w:pPr>
              <w:spacing w:after="0"/>
            </w:pPr>
            <w:r>
              <w:t xml:space="preserve">Needs work</w:t>
            </w:r>
          </w:p>
        </w:tc>
        <w:tc>
          <w:tcPr>
            <w:tcW w:w="2340" w:type="dxa"/>
          </w:tcPr>
          <w:p>
            <w:pPr>
              <w:spacing w:after="0"/>
            </w:pPr>
            <w:r>
              <w:t xml:space="preserve">2</w:t>
            </w:r>
          </w:p>
        </w:tc>
        <w:tc>
          <w:tcPr>
            <w:tcW w:w="2340" w:type="dxa"/>
          </w:tcPr>
          <w:p>
            <w:pPr>
              <w:spacing w:after="0"/>
            </w:pPr>
            <w:r>
              <w:t xml:space="preserve">5</w:t>
            </w:r>
          </w:p>
        </w:tc>
        <w:tc>
          <w:tcPr>
            <w:tcW w:w="2340" w:type="dxa"/>
          </w:tcPr>
          <w:p>
            <w:pPr>
              <w:spacing w:after="0"/>
            </w:pPr>
            <w:r>
              <w:t xml:space="preserve">28.6%</w:t>
            </w:r>
          </w:p>
        </w:tc>
      </w:tr>
    </w:tbl>
    <w:p>
      <w:pPr/>
      <w:r>
        <w:t/>
      </w:r>
    </w:p>
    <w:p>
      <w:pPr>
        <w:spacing w:after="140"/>
      </w:pPr>
      <w:r>
        <w:t xml:space="preserve">Odds ratio 0.75. Fisher's exact test, two-sided: p = 1.000. Null.</w:t>
      </w:r>
    </w:p>
    <w:p>
      <w:pPr>
        <w:spacing w:after="140"/>
      </w:pPr>
      <w:r>
        <w:t xml:space="preserve">Read alongside Sections 5.3 and 5.4, this is the expected result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reconstructability. Appellate outcome measures something else. Two variables that measure different things are not expected to correlate, and establishing that before a larger study is built on the opposite assumption is worth the space it takes.</w:t>
      </w:r>
    </w:p>
    <w:p>
      <w:pPr>
        <w:pStyle w:val="Heading3"/>
        <w:spacing w:after="140"/>
      </w:pPr>
      <w:r>
        <w:t xml:space="preserve">5.6 The same instrument, a different corpus, and the association appears</w:t>
      </w:r>
    </w:p>
    <w:p>
      <w:pPr>
        <w:spacing w:after="140"/>
      </w:pPr>
      <w:r>
        <w:t xml:space="preserve">That explanation can be tested rather than asserted. The same instrument has been applied in a second domain, employment and labour matters, by a different reviewer working independently of this study, on 22 cases from 22 distinct sources including United States Supreme Court decisions, Federal Labor Relations Authority decisions, and United Kingdom Employment Tribunal judgments. Those cases are not selected for published freedom-of-information controversy, and the base rate of adverse outcomes in that set is close to even rather than three to one.</w:t>
      </w:r>
    </w:p>
    <w:p>
      <w:pPr>
        <w:spacing w:after="140"/>
      </w:pPr>
      <w:r>
        <w:t xml:space="preserve">In that corpus the read is associated with the documented outcome. On that study's pre-registered outcome coding, which asks whether a matter drew an adverse finding, records read as Needs work or Gap did so in 7 of 9 cases (77.8 percent, 95 percent Wilson interval 45.3 to 93.7) against 2 of 13 records read as Ready (15.4 percent, interval 4.3 to 42.2); Fisher's exact test, two-sided, p = 0.0073, odds ratio 19.25. On the coding that matches the specification check above, restricted to resolved dispositions, determinations read as Ready were sustained in 6 of 8 (75.0 percent, interval 40.9 to 92.9) against 1 of 8 for records read as incomplete (12.5 percent, interval 2.2 to 47.1); p = 0.041, odds ratio 21.0.</w:t>
      </w:r>
    </w:p>
    <w:p>
      <w:pPr>
        <w:spacing w:after="140"/>
      </w:pPr>
      <w:r>
        <w:t xml:space="preserve">That result belongs to the second study and is reported in full there, with its own limits, which include a small resolved sample and a single reviewer. It is cited here for one narrow purpose: the boundary condition proposed in this section is not a post-hoc rescue of a null. Where the corpus is not filtered by publication, the association the present corpus could not show is present. Both observations are consistent with a read that measures documentation quality and a publication process that selects on something else.</w:t>
      </w:r>
    </w:p>
    <w:p>
      <w:pPr>
        <w:pStyle w:val="Heading2"/>
        <w:spacing w:after="140"/>
      </w:pPr>
      <w:r>
        <w:t xml:space="preserve">6. Discussion</w:t>
      </w:r>
    </w:p>
    <w:p>
      <w:pPr>
        <w:spacing w:after="140"/>
      </w:pPr>
      <w:r>
        <w:t xml:space="preserve">The pilot establishes three things. The instrument can be applied to real public-records material across document classes and jurisdictions and returns a full range of reads. Where an independent government auditor assessed the same records, the read and the audit agreed in every case. And the reads are driven by reconstructability rather than by outcome, shown twice, once from the reviewer's contemporaneous notes and once from a structural feature of the sources. Section 5.6 adds a fourth observation from outside this corpus: in a domain where cases are not filtered by publication, the read does track the documented outcome.</w:t>
      </w:r>
    </w:p>
    <w:p>
      <w:pPr>
        <w:spacing w:after="140"/>
      </w:pPr>
      <w:r>
        <w:t xml:space="preserve">Reviewability is a property of the record, measurable regardless of the software or system that produced it. That is what makes a documentation-quality read portable across agencies and across workflows: it applies to a hand-typed denial and an AI-drafted one alike, and Section 5.2 shows it lands where a professional auditor lands.</w:t>
      </w:r>
    </w:p>
    <w:p>
      <w:pPr>
        <w:spacing w:after="140"/>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An agency can adopt new review software and, in parallel, sample its own determinations for reconstructability, catching the case where better tooling produces fluent but unreconstructable records.</w:t>
      </w:r>
    </w:p>
    <w:p>
      <w:pPr>
        <w:spacing w:after="140"/>
      </w:pPr>
      <w:r>
        <w:t xml:space="preserve">For records officers the practical form is simpler than the research form. Determinations that rebuild their own basis, that name each exemption, itemize the records located and produced, and connect reasoning to cited authority, are more consistent across officers and cheaper to defend when an auditor or an appeals body asks. The five conditions work as a pre-issuance checklist, not only as a research instrument. This pilot does not establish that using them lowers reversal rates, and no such claim is made.</w:t>
      </w:r>
    </w:p>
    <w:p>
      <w:pPr>
        <w:pStyle w:val="Heading2"/>
        <w:spacing w:after="140"/>
      </w:pPr>
      <w:r>
        <w:t xml:space="preserve">7. Limitations</w:t>
      </w:r>
    </w:p>
    <w:p>
      <w:pPr>
        <w:spacing w:after="140"/>
      </w:pPr>
      <w:r>
        <w:t xml:space="preserve">All 32 reads were recorded by a single domain reviewer, so no inter-rater agreement is estimated and reader-dependence cannot be ruled out. The contemporaneous basis notes make the reasoning behind each read auditable by a second reader, which is the mitigation available in a single-reviewer design.</w:t>
      </w:r>
    </w:p>
    <w:p>
      <w:pPr>
        <w:spacing w:after="140"/>
      </w:pPr>
      <w:r>
        <w:t xml:space="preserve">The note coding in Section 5.3 is post-hoc rather than pre-registered, and is reported as construct evidence rather than as a confirmatory test.</w:t>
      </w:r>
    </w:p>
    <w:p>
      <w:pPr>
        <w:spacing w:after="140"/>
      </w:pPr>
      <w:r>
        <w:t xml:space="preserve">Cases were selected by the domain reviewer from published sources rather than sampled at random, and published sources over-represent contested determinations.</w:t>
      </w:r>
    </w:p>
    <w:p>
      <w:pPr>
        <w:spacing w:after="140"/>
      </w:pPr>
      <w:r>
        <w:t xml:space="preserve">The convergent-validity result rests on five audits, and in this corpus document class and read are not independent, which bounds Sections 5.2 and 5.4 to the readings given there.</w:t>
      </w:r>
    </w:p>
    <w:p>
      <w:pPr>
        <w:spacing w:after="140"/>
      </w:pPr>
      <w:r>
        <w:t xml:space="preserve">The corpus is two states, New York and Connecticut. Generalization beyond them is not claimed.</w:t>
      </w:r>
    </w:p>
    <w:p>
      <w:pPr>
        <w:spacing w:after="140"/>
      </w:pPr>
      <w:r>
        <w:t xml:space="preserve">The cross-domain observation in Section 5.6 is not a result of this study. It belongs to a separate employment-law corpus of 22 adjudicated matters collected by a different reviewer, is reported in full in a companion manuscript, and is cited here only as a test of the boundary condition proposed in Section 5.5.</w:t>
      </w:r>
    </w:p>
    <w:p>
      <w:pPr>
        <w:spacing w:after="140"/>
      </w:pPr>
      <w:r>
        <w:t xml:space="preserve">Seven cases record a contest without a resolved disposition, which reduces the specification check from 27 determinations to 20.</w:t>
      </w:r>
    </w:p>
    <w:p>
      <w:pPr>
        <w:spacing w:after="140"/>
      </w:pPr>
      <w:r>
        <w:t xml:space="preserve">The reviewer read the determination as reported in a published decision or audit, which is not identical to the file the original decision-maker produced.</w:t>
      </w:r>
    </w:p>
    <w:p>
      <w:pPr>
        <w:spacing w:after="140"/>
      </w:pPr>
      <w:r>
        <w:t xml:space="preserve">The standard remains in a validation phase and makes no proven-effectiveness claim.</w:t>
      </w:r>
    </w:p>
    <w:p>
      <w:pPr>
        <w:pStyle w:val="Heading2"/>
        <w:spacing w:after="140"/>
      </w:pPr>
      <w:r>
        <w:t xml:space="preserve">8. Conclusion</w:t>
      </w:r>
    </w:p>
    <w:p>
      <w:pPr>
        <w:spacing w:after="140"/>
      </w:pPr>
      <w:r>
        <w:t xml:space="preserve">The drafting tool and the technology stack will keep changing. The evidentiary test does not. A public-records determination that cannot be rebuilt from its own contents cannot be independently defended, whoever or whatever produced it.</w:t>
      </w:r>
    </w:p>
    <w:p>
      <w:pPr>
        <w:spacing w:after="140"/>
      </w:pPr>
      <w:r>
        <w:t xml:space="preserve">This pilot delivers a working protocol, a completed and citable 32-case set spanning four document classes, two states and twenty-one years of decisions, agreement with independent government auditors in every case where both instruments were available, and two independent lines of evidence that the read tracks reconstructability rather than outcome.</w:t>
      </w:r>
    </w:p>
    <w:p>
      <w:pPr>
        <w:spacing w:after="140"/>
      </w:pPr>
      <w:r>
        <w:t xml:space="preserve">It also makes the follow-on study specific. Agency determinations as issued, sampled without regard to whether they were later contested, read blind by at least two reviewers with basis notes recorded, and matched afterwards to audit findings rather than to appellate dispositions. The employment-law corpus described in Section 5.6 suggests the same design will detect an outcome association wherever the case set is not filtered by publication. The audit finding is the outcome variable the read demonstrably agrees with, and it is the one a records programme can act on.</w:t>
      </w:r>
    </w:p>
    <w:p>
      <w:pPr>
        <w:pStyle w:val="Heading2"/>
        <w:spacing w:after="140"/>
      </w:pPr>
      <w:r>
        <w:t xml:space="preserve">References</w:t>
      </w:r>
    </w:p>
    <w:p>
      <w:pPr>
        <w:spacing w:after="140"/>
      </w:pPr>
      <w:r>
        <w:t xml:space="preserve">Chief FOIA Officers Council. (2026, May 28). </w:t>
      </w:r>
      <w:r>
        <w:rPr>
          <w:i/>
        </w:rPr>
        <w:t xml:space="preserve">Memorandum: data collection and volunteers</w:t>
      </w:r>
      <w:r>
        <w:t xml:space="preserve"> [Government-wide FOIA technology inventory initiative]. United States Department of Justice.</w:t>
      </w:r>
    </w:p>
    <w:p>
      <w:pPr>
        <w:spacing w:after="140"/>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pStyle w:val="Heading3"/>
        <w:spacing w:after="140"/>
      </w:pPr>
      <w:r>
        <w:t xml:space="preserve">Cited determinations, opinions, and audits</w:t>
      </w:r>
    </w:p>
    <w:p>
      <w:pPr>
        <w:spacing w:after="140"/>
      </w:pPr>
      <w:r>
        <w:t xml:space="preserve">New York appellate and trial-level decisions: NY Appellate Division FOIL email-disclosure decision (2026);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spacing w:after="140"/>
      </w:pPr>
      <w: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spacing w:after="140"/>
      </w:pPr>
      <w:r>
        <w:t xml:space="preserve">Connecticut Freedom of Information Commission final decisions: FIC2012-276; FIC2015-122.</w:t>
      </w:r>
    </w:p>
    <w:p>
      <w:pPr>
        <w:spacing w:after="140"/>
      </w:pPr>
      <w:r>
        <w:t xml:space="preserve">Compliance audits: New York State Comptroller, compliance with Freedom of Information Law requirements (2020, 2021, 2023); New York City Comptroller, review of the New York City Police Department's body-worn-camera program.</w:t>
      </w:r>
    </w:p>
    <w:p>
      <w:pPr>
        <w:pStyle w:val="Heading2"/>
        <w:spacing w:after="140"/>
      </w:pPr>
      <w:r>
        <w:t xml:space="preserve">Data availability</w:t>
      </w:r>
    </w:p>
    <w:p>
      <w:pPr>
        <w:spacing w:after="140"/>
      </w:pPr>
      <w:r>
        <w:t xml:space="preserve">Case-level data (public citation, read, contemporaneous basis note, and documented outcome) are held in the study database. Verified counts as of 8 August 2026: 32 cases from 32 distinct public sources, collected 26 June to 8 August 2026; reads 18 Ready, 9 Needs work, 5 Gap; outcomes 15 did not survive review, 7 contested, 5 sustained, 5 adverse audit findings. Every figure in Section 5 is reproduced by an analysis script using only the Python standard library, which also carries the full note-coding frame so the Section 5.3 coding can be audited case by case. The complete case set with citations and notes is available from the authors and will be released with publication.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