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Stacyann Young: complete record</w:t>
      </w:r>
    </w:p>
    <w:p>
      <w:pPr>
        <w:spacing w:after="140"/>
      </w:pPr>
      <w:r>
        <w:rPr>
          <w:b/>
        </w:rPr>
        <w:t xml:space="preserve">Compiled 2026-08-08, updated 2026-08-09. PRIVATE. `research/` is never deployed to production.</w:t>
      </w:r>
    </w:p>
    <w:p>
      <w:pPr>
        <w:spacing w:after="140"/>
      </w:pPr>
      <w:r>
        <w:t xml:space="preserve">Everything the project holds on Stacy Young in one place: identity and role, study codes, her contribution, every artifact she produced or that names her, and the open items. Sources are named for each block so nothing here rests on memory.</w:t>
      </w:r>
    </w:p>
    <w:p>
      <w:pPr>
        <w:pBdr>
          <w:bottom w:val="single" w:sz="6" w:space="1" w:color="AAAAAA"/>
        </w:pBdr>
      </w:pPr>
    </w:p>
    <w:p>
      <w:pPr>
        <w:pStyle w:val="Heading2"/>
        <w:spacing w:after="140"/>
      </w:pPr>
      <w:r>
        <w:t xml:space="preserve">1. Identity and role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Field</w:t>
            </w:r>
          </w:p>
        </w:tc>
        <w:tc>
          <w:tcPr>
            <w:tcW w:w="3120" w:type="dxa"/>
          </w:tcPr>
          <w:p>
            <w:pPr>
              <w:spacing w:after="0"/>
            </w:pPr>
            <w:r>
              <w:t xml:space="preserve">Value</w:t>
            </w:r>
          </w:p>
        </w:tc>
        <w:tc>
          <w:tcPr>
            <w:tcW w:w="3120" w:type="dxa"/>
          </w:tcPr>
          <w:p>
            <w:pPr>
              <w:spacing w:after="0"/>
            </w:pPr>
            <w:r>
              <w:t xml:space="preserve">Source</w:t>
            </w:r>
          </w:p>
        </w:tc>
      </w:tr>
      <w:tr>
        <w:tc>
          <w:tcPr>
            <w:tcW w:w="3120" w:type="dxa"/>
          </w:tcPr>
          <w:p>
            <w:pPr>
              <w:spacing w:after="0"/>
            </w:pPr>
            <w:r>
              <w:t xml:space="preserve">Name</w:t>
            </w:r>
          </w:p>
        </w:tc>
        <w:tc>
          <w:tcPr>
            <w:tcW w:w="3120" w:type="dxa"/>
          </w:tcPr>
          <w:p>
            <w:pPr>
              <w:spacing w:after="0"/>
            </w:pPr>
            <w:r>
              <w:t xml:space="preserve">Stacyann Young (corrected by her on the acceptance page, 2026-08-09; the study record held Stacy Young)</w:t>
            </w:r>
          </w:p>
        </w:tc>
        <w:tc>
          <w:tcPr>
            <w:tcW w:w="3120" w:type="dxa"/>
          </w:tcPr>
          <w:p>
            <w:pPr>
              <w:spacing w:after="0"/>
            </w:pPr>
            <w:r>
              <w:t xml:space="preserve">her acceptance, 2026-08-09</w:t>
            </w:r>
          </w:p>
        </w:tc>
      </w:tr>
      <w:tr>
        <w:tc>
          <w:tcPr>
            <w:tcW w:w="3120" w:type="dxa"/>
          </w:tcPr>
          <w:p>
            <w:pPr>
              <w:spacing w:after="0"/>
            </w:pPr>
            <w:r>
              <w:t xml:space="preserve">Preferred informal name</w:t>
            </w:r>
          </w:p>
        </w:tc>
        <w:tc>
          <w:tcPr>
            <w:tcW w:w="3120" w:type="dxa"/>
          </w:tcPr>
          <w:p>
            <w:pPr>
              <w:spacing w:after="0"/>
            </w:pPr>
            <w:r>
              <w:t xml:space="preserve">Stacyann</w:t>
            </w:r>
          </w:p>
        </w:tc>
        <w:tc>
          <w:tcPr>
            <w:tcW w:w="3120" w:type="dxa"/>
          </w:tcPr>
          <w:p>
            <w:pPr>
              <w:spacing w:after="0"/>
            </w:pPr>
            <w:r>
              <w:t xml:space="preserve">her messages</w:t>
            </w:r>
          </w:p>
        </w:tc>
      </w:tr>
      <w:tr>
        <w:tc>
          <w:tcPr>
            <w:tcW w:w="3120" w:type="dxa"/>
          </w:tcPr>
          <w:p>
            <w:pPr>
              <w:spacing w:after="0"/>
            </w:pPr>
            <w:r>
              <w:t xml:space="preserve">Pronouns</w:t>
            </w:r>
          </w:p>
        </w:tc>
        <w:tc>
          <w:tcPr>
            <w:tcW w:w="3120" w:type="dxa"/>
          </w:tcPr>
          <w:p>
            <w:pPr>
              <w:spacing w:after="0"/>
            </w:pPr>
            <w:r>
              <w:t xml:space="preserve">She/Her</w:t>
            </w:r>
          </w:p>
        </w:tc>
        <w:tc>
          <w:tcPr>
            <w:tcW w:w="3120" w:type="dxa"/>
          </w:tcPr>
          <w:p>
            <w:pPr>
              <w:spacing w:after="0"/>
            </w:pPr>
            <w:r>
              <w:t xml:space="preserve">LinkedIn</w:t>
            </w:r>
          </w:p>
        </w:tc>
      </w:tr>
      <w:tr>
        <w:tc>
          <w:tcPr>
            <w:tcW w:w="3120" w:type="dxa"/>
          </w:tcPr>
          <w:p>
            <w:pPr>
              <w:spacing w:after="0"/>
            </w:pPr>
            <w:r>
              <w:t xml:space="preserve">Current role</w:t>
            </w:r>
          </w:p>
        </w:tc>
        <w:tc>
          <w:tcPr>
            <w:tcW w:w="3120" w:type="dxa"/>
          </w:tcPr>
          <w:p>
            <w:pPr>
              <w:spacing w:after="0"/>
            </w:pPr>
            <w:r>
              <w:t xml:space="preserve">Deputy Records Access Officer, NYC Department of Housing Preservation and Development</w:t>
            </w:r>
          </w:p>
        </w:tc>
        <w:tc>
          <w:tcPr>
            <w:tcW w:w="3120" w:type="dxa"/>
          </w:tcPr>
          <w:p>
            <w:pPr>
              <w:spacing w:after="0"/>
            </w:pPr>
            <w:r>
              <w:rPr>
                <w:rFonts w:ascii="Consolas" w:hAnsi="Consolas"/>
              </w:rPr>
              <w:t xml:space="preserve">bench_experts</w:t>
            </w:r>
            <w:r>
              <w:t xml:space="preserve">; LinkedIn</w:t>
            </w:r>
          </w:p>
        </w:tc>
      </w:tr>
      <w:tr>
        <w:tc>
          <w:tcPr>
            <w:tcW w:w="3120" w:type="dxa"/>
          </w:tcPr>
          <w:p>
            <w:pPr>
              <w:spacing w:after="0"/>
            </w:pPr>
            <w:r>
              <w:t xml:space="preserve">Tenure in role</w:t>
            </w:r>
          </w:p>
        </w:tc>
        <w:tc>
          <w:tcPr>
            <w:tcW w:w="3120" w:type="dxa"/>
          </w:tcPr>
          <w:p>
            <w:pPr>
              <w:spacing w:after="0"/>
            </w:pPr>
            <w:r>
              <w:t xml:space="preserve">February 2017 to present</w:t>
            </w:r>
          </w:p>
        </w:tc>
        <w:tc>
          <w:tcPr>
            <w:tcW w:w="3120" w:type="dxa"/>
          </w:tcPr>
          <w:p>
            <w:pPr>
              <w:spacing w:after="0"/>
            </w:pPr>
            <w:r>
              <w:t xml:space="preserve">LinkedIn</w:t>
            </w:r>
          </w:p>
        </w:tc>
      </w:tr>
      <w:tr>
        <w:tc>
          <w:tcPr>
            <w:tcW w:w="3120" w:type="dxa"/>
          </w:tcPr>
          <w:p>
            <w:pPr>
              <w:spacing w:after="0"/>
            </w:pPr>
            <w:r>
              <w:t xml:space="preserve">LinkedIn headline</w:t>
            </w:r>
          </w:p>
        </w:tc>
        <w:tc>
          <w:tcPr>
            <w:tcW w:w="3120" w:type="dxa"/>
          </w:tcPr>
          <w:p>
            <w:pPr>
              <w:spacing w:after="0"/>
            </w:pPr>
            <w:r>
              <w:t xml:space="preserve">Information Governance Strategist, FOIL and Transparency Systems, Public Records Modernization, Cross-Agency Collaboration, NYC Government HPD, TLC, DEP</w:t>
            </w:r>
          </w:p>
        </w:tc>
        <w:tc>
          <w:tcPr>
            <w:tcW w:w="3120" w:type="dxa"/>
          </w:tcPr>
          <w:p>
            <w:pPr>
              <w:spacing w:after="0"/>
            </w:pPr>
            <w:r>
              <w:t xml:space="preserve">LinkedIn</w:t>
            </w:r>
          </w:p>
        </w:tc>
      </w:tr>
      <w:tr>
        <w:tc>
          <w:tcPr>
            <w:tcW w:w="3120" w:type="dxa"/>
          </w:tcPr>
          <w:p>
            <w:pPr>
              <w:spacing w:after="0"/>
            </w:pPr>
            <w:r>
              <w:t xml:space="preserve">Location</w:t>
            </w:r>
          </w:p>
        </w:tc>
        <w:tc>
          <w:tcPr>
            <w:tcW w:w="3120" w:type="dxa"/>
          </w:tcPr>
          <w:p>
            <w:pPr>
              <w:spacing w:after="0"/>
            </w:pPr>
            <w:r>
              <w:t xml:space="preserve">New York City Metropolitan Area</w:t>
            </w:r>
          </w:p>
        </w:tc>
        <w:tc>
          <w:tcPr>
            <w:tcW w:w="3120" w:type="dxa"/>
          </w:tcPr>
          <w:p>
            <w:pPr>
              <w:spacing w:after="0"/>
            </w:pPr>
            <w:r>
              <w:t xml:space="preserve">LinkedIn</w:t>
            </w:r>
          </w:p>
        </w:tc>
      </w:tr>
      <w:tr>
        <w:tc>
          <w:tcPr>
            <w:tcW w:w="3120" w:type="dxa"/>
          </w:tcPr>
          <w:p>
            <w:pPr>
              <w:spacing w:after="0"/>
            </w:pPr>
            <w:r>
              <w:t xml:space="preserve">Country</w:t>
            </w:r>
          </w:p>
        </w:tc>
        <w:tc>
          <w:tcPr>
            <w:tcW w:w="3120" w:type="dxa"/>
          </w:tcPr>
          <w:p>
            <w:pPr>
              <w:spacing w:after="0"/>
            </w:pPr>
            <w:r>
              <w:t xml:space="preserve">US</w:t>
            </w:r>
          </w:p>
        </w:tc>
        <w:tc>
          <w:tcPr>
            <w:tcW w:w="3120" w:type="dxa"/>
          </w:tcPr>
          <w:p>
            <w:pPr>
              <w:spacing w:after="0"/>
            </w:pPr>
            <w:r>
              <w:t xml:space="preserve">study record</w:t>
            </w:r>
          </w:p>
        </w:tc>
      </w:tr>
      <w:tr>
        <w:tc>
          <w:tcPr>
            <w:tcW w:w="3120" w:type="dxa"/>
          </w:tcPr>
          <w:p>
            <w:pPr>
              <w:spacing w:after="0"/>
            </w:pPr>
            <w:r>
              <w:t xml:space="preserve">Years in field</w:t>
            </w:r>
          </w:p>
        </w:tc>
        <w:tc>
          <w:tcPr>
            <w:tcW w:w="3120" w:type="dxa"/>
          </w:tcPr>
          <w:p>
            <w:pPr>
              <w:spacing w:after="0"/>
            </w:pPr>
            <w:r>
              <w:t xml:space="preserve">22 (as recorded in the study database); LinkedIn states 20+ years senior NYC government operations</w:t>
            </w:r>
          </w:p>
        </w:tc>
        <w:tc>
          <w:tcPr>
            <w:tcW w:w="3120" w:type="dxa"/>
          </w:tcPr>
          <w:p>
            <w:pPr>
              <w:spacing w:after="0"/>
            </w:pPr>
            <w:r>
              <w:rPr>
                <w:rFonts w:ascii="Consolas" w:hAnsi="Consolas"/>
              </w:rPr>
              <w:t xml:space="preserve">bench_experts</w:t>
            </w:r>
            <w:r>
              <w:t xml:space="preserve">; LinkedIn</w:t>
            </w:r>
          </w:p>
        </w:tc>
      </w:tr>
      <w:tr>
        <w:tc>
          <w:tcPr>
            <w:tcW w:w="3120" w:type="dxa"/>
          </w:tcPr>
          <w:p>
            <w:pPr>
              <w:spacing w:after="0"/>
            </w:pPr>
            <w:r>
              <w:t xml:space="preserve">Credential in study record</w:t>
            </w:r>
          </w:p>
        </w:tc>
        <w:tc>
          <w:tcPr>
            <w:tcW w:w="3120" w:type="dxa"/>
          </w:tcPr>
          <w:p>
            <w:pPr>
              <w:spacing w:after="0"/>
            </w:pPr>
            <w:r>
              <w:t xml:space="preserve">Records governance and FOIL administration</w:t>
            </w:r>
          </w:p>
        </w:tc>
        <w:tc>
          <w:tcPr>
            <w:tcW w:w="3120" w:type="dxa"/>
          </w:tcPr>
          <w:p>
            <w:pPr>
              <w:spacing w:after="0"/>
            </w:pPr>
            <w:r>
              <w:rPr>
                <w:rFonts w:ascii="Consolas" w:hAnsi="Consolas"/>
              </w:rPr>
              <w:t xml:space="preserve">bench_experts</w:t>
            </w:r>
          </w:p>
        </w:tc>
      </w:tr>
      <w:tr>
        <w:tc>
          <w:tcPr>
            <w:tcW w:w="3120" w:type="dxa"/>
          </w:tcPr>
          <w:p>
            <w:pPr>
              <w:spacing w:after="0"/>
            </w:pPr>
            <w:r>
              <w:t xml:space="preserve">Connections</w:t>
            </w:r>
          </w:p>
        </w:tc>
        <w:tc>
          <w:tcPr>
            <w:tcW w:w="3120" w:type="dxa"/>
          </w:tcPr>
          <w:p>
            <w:pPr>
              <w:spacing w:after="0"/>
            </w:pPr>
            <w:r>
              <w:t xml:space="preserve">500+</w:t>
            </w:r>
          </w:p>
        </w:tc>
        <w:tc>
          <w:tcPr>
            <w:tcW w:w="3120" w:type="dxa"/>
          </w:tcPr>
          <w:p>
            <w:pPr>
              <w:spacing w:after="0"/>
            </w:pPr>
            <w:r>
              <w:t xml:space="preserve">LinkedIn</w:t>
            </w:r>
          </w:p>
        </w:tc>
      </w:tr>
      <w:tr>
        <w:tc>
          <w:tcPr>
            <w:tcW w:w="3120" w:type="dxa"/>
          </w:tcPr>
          <w:p>
            <w:pPr>
              <w:spacing w:after="0"/>
            </w:pPr>
            <w:r>
              <w:t xml:space="preserve">Mutual group</w:t>
            </w:r>
          </w:p>
        </w:tc>
        <w:tc>
          <w:tcPr>
            <w:tcW w:w="3120" w:type="dxa"/>
          </w:tcPr>
          <w:p>
            <w:pPr>
              <w:spacing w:after="0"/>
            </w:pPr>
            <w:r>
              <w:t xml:space="preserve">Public Records Compliance and Governance</w:t>
            </w:r>
          </w:p>
        </w:tc>
        <w:tc>
          <w:tcPr>
            <w:tcW w:w="3120" w:type="dxa"/>
          </w:tcPr>
          <w:p>
            <w:pPr>
              <w:spacing w:after="0"/>
            </w:pPr>
            <w:r>
              <w:t xml:space="preserve">LinkedIn</w:t>
            </w:r>
          </w:p>
        </w:tc>
      </w:tr>
      <w:tr>
        <w:tc>
          <w:tcPr>
            <w:tcW w:w="3120" w:type="dxa"/>
          </w:tcPr>
          <w:p>
            <w:pPr>
              <w:spacing w:after="0"/>
            </w:pPr>
            <w:r>
              <w:t xml:space="preserve">Mutual connections</w:t>
            </w:r>
          </w:p>
        </w:tc>
        <w:tc>
          <w:tcPr>
            <w:tcW w:w="3120" w:type="dxa"/>
          </w:tcPr>
          <w:p>
            <w:pPr>
              <w:spacing w:after="0"/>
            </w:pPr>
            <w:r>
              <w:t xml:space="preserve">Berlinda; Tanvi</w:t>
            </w:r>
          </w:p>
        </w:tc>
        <w:tc>
          <w:tcPr>
            <w:tcW w:w="3120" w:type="dxa"/>
          </w:tcPr>
          <w:p>
            <w:pPr>
              <w:spacing w:after="0"/>
            </w:pPr>
            <w:r>
              <w:t xml:space="preserve">LinkedIn</w:t>
            </w:r>
          </w:p>
        </w:tc>
      </w:tr>
    </w:tbl>
    <w:p>
      <w:pPr/>
      <w:r>
        <w:t/>
      </w:r>
    </w:p>
    <w:p>
      <w:pPr>
        <w:pStyle w:val="Heading2"/>
        <w:spacing w:after="140"/>
      </w:pPr>
      <w:r>
        <w:t xml:space="preserve">2. Career history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Period</w:t>
            </w:r>
          </w:p>
        </w:tc>
        <w:tc>
          <w:tcPr>
            <w:tcW w:w="3120" w:type="dxa"/>
          </w:tcPr>
          <w:p>
            <w:pPr>
              <w:spacing w:after="0"/>
            </w:pPr>
            <w:r>
              <w:t xml:space="preserve">Role</w:t>
            </w:r>
          </w:p>
        </w:tc>
        <w:tc>
          <w:tcPr>
            <w:tcW w:w="3120" w:type="dxa"/>
          </w:tcPr>
          <w:p>
            <w:pPr>
              <w:spacing w:after="0"/>
            </w:pPr>
            <w:r>
              <w:t xml:space="preserve">Organization</w:t>
            </w:r>
          </w:p>
        </w:tc>
      </w:tr>
      <w:tr>
        <w:tc>
          <w:tcPr>
            <w:tcW w:w="3120" w:type="dxa"/>
          </w:tcPr>
          <w:p>
            <w:pPr>
              <w:spacing w:after="0"/>
            </w:pPr>
            <w:r>
              <w:t xml:space="preserve">Feb 2017 to present</w:t>
            </w:r>
          </w:p>
        </w:tc>
        <w:tc>
          <w:tcPr>
            <w:tcW w:w="3120" w:type="dxa"/>
          </w:tcPr>
          <w:p>
            <w:pPr>
              <w:spacing w:after="0"/>
            </w:pPr>
            <w:r>
              <w:t xml:space="preserve">Deputy Records Access Officer. Leads cross-divisional public-records and regulatory operations</w:t>
            </w:r>
          </w:p>
        </w:tc>
        <w:tc>
          <w:tcPr>
            <w:tcW w:w="3120" w:type="dxa"/>
          </w:tcPr>
          <w:p>
            <w:pPr>
              <w:spacing w:after="0"/>
            </w:pPr>
            <w:r>
              <w:t xml:space="preserve">NYC Department of Housing Preservation and Development</w:t>
            </w:r>
          </w:p>
        </w:tc>
      </w:tr>
      <w:tr>
        <w:tc>
          <w:tcPr>
            <w:tcW w:w="3120" w:type="dxa"/>
          </w:tcPr>
          <w:p>
            <w:pPr>
              <w:spacing w:after="0"/>
            </w:pPr>
            <w:r>
              <w:t xml:space="preserve">Feb 2016 to Feb 2017</w:t>
            </w:r>
          </w:p>
        </w:tc>
        <w:tc>
          <w:tcPr>
            <w:tcW w:w="3120" w:type="dxa"/>
          </w:tcPr>
          <w:p>
            <w:pPr>
              <w:spacing w:after="0"/>
            </w:pPr>
            <w:r>
              <w:t xml:space="preserve">Executive Assistant to the Deputy Commissioner, Division of Licensing and Standards</w:t>
            </w:r>
          </w:p>
        </w:tc>
        <w:tc>
          <w:tcPr>
            <w:tcW w:w="3120" w:type="dxa"/>
          </w:tcPr>
          <w:p>
            <w:pPr>
              <w:spacing w:after="0"/>
            </w:pPr>
            <w:r>
              <w:t xml:space="preserve">NYC Taxi and Limousine Commission</w:t>
            </w:r>
          </w:p>
        </w:tc>
      </w:tr>
      <w:tr>
        <w:tc>
          <w:tcPr>
            <w:tcW w:w="3120" w:type="dxa"/>
          </w:tcPr>
          <w:p>
            <w:pPr>
              <w:spacing w:after="0"/>
            </w:pPr>
            <w:r>
              <w:t xml:space="preserve">Aug 2013 to Feb 2016</w:t>
            </w:r>
          </w:p>
        </w:tc>
        <w:tc>
          <w:tcPr>
            <w:tcW w:w="3120" w:type="dxa"/>
          </w:tcPr>
          <w:p>
            <w:pPr>
              <w:spacing w:after="0"/>
            </w:pPr>
            <w:r>
              <w:t xml:space="preserve">Assistant Freedom of Information Law Officer. FOIL administration</w:t>
            </w:r>
          </w:p>
        </w:tc>
        <w:tc>
          <w:tcPr>
            <w:tcW w:w="3120" w:type="dxa"/>
          </w:tcPr>
          <w:p>
            <w:pPr>
              <w:spacing w:after="0"/>
            </w:pPr>
            <w:r>
              <w:t xml:space="preserve">NYC Taxi and Limousine Commission</w:t>
            </w:r>
          </w:p>
        </w:tc>
      </w:tr>
      <w:tr>
        <w:tc>
          <w:tcPr>
            <w:tcW w:w="3120" w:type="dxa"/>
          </w:tcPr>
          <w:p>
            <w:pPr>
              <w:spacing w:after="0"/>
            </w:pPr>
            <w:r>
              <w:t xml:space="preserve">May 2004 to Aug 2013</w:t>
            </w:r>
          </w:p>
        </w:tc>
        <w:tc>
          <w:tcPr>
            <w:tcW w:w="3120" w:type="dxa"/>
          </w:tcPr>
          <w:p>
            <w:pPr>
              <w:spacing w:after="0"/>
            </w:pPr>
            <w:r>
              <w:t xml:space="preserve">Records Manager, from intern to records management</w:t>
            </w:r>
          </w:p>
        </w:tc>
        <w:tc>
          <w:tcPr>
            <w:tcW w:w="3120" w:type="dxa"/>
          </w:tcPr>
          <w:p>
            <w:pPr>
              <w:spacing w:after="0"/>
            </w:pPr>
            <w:r>
              <w:t xml:space="preserve">NYC Department of Environmental Protection</w:t>
            </w:r>
          </w:p>
        </w:tc>
      </w:tr>
    </w:tbl>
    <w:p>
      <w:pPr/>
      <w:r>
        <w:t/>
      </w:r>
    </w:p>
    <w:p>
      <w:pPr>
        <w:spacing w:after="140"/>
      </w:pPr>
      <w:r>
        <w:rPr>
          <w:b/>
        </w:rPr>
        <w:t xml:space="preserve">Education.</w:t>
      </w:r>
      <w:r>
        <w:t xml:space="preserve"> State University of New York, 2007. SUNY and New York State Archives professional certifications.</w:t>
      </w:r>
    </w:p>
    <w:p>
      <w:pPr>
        <w:spacing w:after="140"/>
      </w:pPr>
      <w:r>
        <w:rPr>
          <w:b/>
        </w:rPr>
        <w:t xml:space="preserve">Licenses and certifications.</w:t>
      </w:r>
      <w:r>
        <w:t xml:space="preserve"> Adaptability and Resilience, McKinsey and Company, issued April 2025.</w:t>
      </w:r>
    </w:p>
    <w:p>
      <w:pPr>
        <w:spacing w:after="140"/>
      </w:pPr>
      <w:r>
        <w:rPr>
          <w:b/>
        </w:rPr>
        <w:t xml:space="preserve">Skills listed.</w:t>
      </w:r>
      <w:r>
        <w:t xml:space="preserve"> 37 on LinkedIn, including Freedom of Information Act, endorsed; Stakeholder Management; E-Discovery; Customer Service Management; Construction Safety; Customer Support.</w:t>
      </w:r>
    </w:p>
    <w:p>
      <w:pPr>
        <w:spacing w:after="140"/>
      </w:pPr>
      <w:r>
        <w:rPr>
          <w:b/>
        </w:rPr>
        <w:t xml:space="preserve">Self-described expertise.</w:t>
      </w:r>
      <w:r>
        <w:t xml:space="preserve"> Executive operations, regulatory governance, FOIL and records systems, cross-agency coordination, workflow modernization, and stakeholder coordination in fast-paced public-sector environments. Her stated specialisms are executive coordination, cross-divisional execution, regulatory operations, and building structured systems that improve transparency, accountability and decision-making.</w:t>
      </w:r>
    </w:p>
    <w:p>
      <w:pPr>
        <w:pStyle w:val="Heading2"/>
        <w:spacing w:after="140"/>
      </w:pPr>
      <w:r>
        <w:t xml:space="preserve">3. Study codes and standing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Value</w:t>
            </w:r>
          </w:p>
        </w:tc>
      </w:tr>
      <w:tr>
        <w:tc>
          <w:tcPr>
            <w:tcW w:w="4680" w:type="dxa"/>
          </w:tcPr>
          <w:p>
            <w:pPr>
              <w:spacing w:after="0"/>
            </w:pPr>
            <w:r>
              <w:t xml:space="preserve">Contributor code</w:t>
            </w:r>
          </w:p>
        </w:tc>
        <w:tc>
          <w:tcPr>
            <w:tcW w:w="4680" w:type="dxa"/>
          </w:tcPr>
          <w:p>
            <w:pPr>
              <w:spacing w:after="0"/>
            </w:pPr>
            <w:r>
              <w:t xml:space="preserve">E-08</w:t>
            </w:r>
          </w:p>
        </w:tc>
      </w:tr>
      <w:tr>
        <w:tc>
          <w:tcPr>
            <w:tcW w:w="4680" w:type="dxa"/>
          </w:tcPr>
          <w:p>
            <w:pPr>
              <w:spacing w:after="0"/>
            </w:pPr>
            <w:r>
              <w:t xml:space="preserve">Domain</w:t>
            </w:r>
          </w:p>
        </w:tc>
        <w:tc>
          <w:tcPr>
            <w:tcW w:w="4680" w:type="dxa"/>
          </w:tcPr>
          <w:p>
            <w:pPr>
              <w:spacing w:after="0"/>
            </w:pPr>
            <w:r>
              <w:t xml:space="preserve">Public records / FOIL</w:t>
            </w:r>
          </w:p>
        </w:tc>
      </w:tr>
      <w:tr>
        <w:tc>
          <w:tcPr>
            <w:tcW w:w="4680" w:type="dxa"/>
          </w:tcPr>
          <w:p>
            <w:pPr>
              <w:spacing w:after="0"/>
            </w:pPr>
            <w:r>
              <w:t xml:space="preserve">Registered in </w:t>
            </w:r>
            <w:r>
              <w:rPr>
                <w:rFonts w:ascii="Consolas" w:hAnsi="Consolas"/>
              </w:rPr>
              <w:t xml:space="preserve">bench_experts</w:t>
            </w:r>
          </w:p>
        </w:tc>
        <w:tc>
          <w:tcPr>
            <w:tcW w:w="4680" w:type="dxa"/>
          </w:tcPr>
          <w:p>
            <w:pPr>
              <w:spacing w:after="0"/>
            </w:pPr>
            <w:r>
              <w:t xml:space="preserve">2026-06-13</w:t>
            </w:r>
          </w:p>
        </w:tc>
      </w:tr>
      <w:tr>
        <w:tc>
          <w:tcPr>
            <w:tcW w:w="4680" w:type="dxa"/>
          </w:tcPr>
          <w:p>
            <w:pPr>
              <w:spacing w:after="0"/>
            </w:pPr>
            <w:r>
              <w:t xml:space="preserve">Role in the programme</w:t>
            </w:r>
          </w:p>
        </w:tc>
        <w:tc>
          <w:tcPr>
            <w:tcW w:w="4680" w:type="dxa"/>
          </w:tcPr>
          <w:p>
            <w:pPr>
              <w:spacing w:after="0"/>
            </w:pPr>
            <w:r>
              <w:t xml:space="preserve">Public-Records Domain Lead; co-author; reliability rater</w:t>
            </w:r>
          </w:p>
        </w:tc>
      </w:tr>
      <w:tr>
        <w:tc>
          <w:tcPr>
            <w:tcW w:w="4680" w:type="dxa"/>
          </w:tcPr>
          <w:p>
            <w:pPr>
              <w:spacing w:after="0"/>
            </w:pPr>
            <w:r>
              <w:t xml:space="preserve">Reliability study (Study 004)</w:t>
            </w:r>
          </w:p>
        </w:tc>
        <w:tc>
          <w:tcPr>
            <w:tcW w:w="4680" w:type="dxa"/>
          </w:tcPr>
          <w:p>
            <w:pPr>
              <w:spacing w:after="0"/>
            </w:pPr>
            <w:r>
              <w:t xml:space="preserve">5 labels on 5 records, 2026-06-11, self-declared domain "Records / Information Governance"</w:t>
            </w:r>
          </w:p>
        </w:tc>
      </w:tr>
      <w:tr>
        <w:tc>
          <w:tcPr>
            <w:tcW w:w="4680" w:type="dxa"/>
          </w:tcPr>
          <w:p>
            <w:pPr>
              <w:spacing w:after="0"/>
            </w:pPr>
            <w:r>
              <w:t xml:space="preserve">Honor code</w:t>
            </w:r>
          </w:p>
        </w:tc>
        <w:tc>
          <w:tcPr>
            <w:tcW w:w="4680" w:type="dxa"/>
          </w:tcPr>
          <w:p>
            <w:pPr>
              <w:spacing w:after="0"/>
            </w:pPr>
            <w:r>
              <w:t xml:space="preserve">H-2026-01, first honoree named. The Honor is not single-recipient: every detection-study completer receives one</w:t>
            </w:r>
          </w:p>
        </w:tc>
      </w:tr>
      <w:tr>
        <w:tc>
          <w:tcPr>
            <w:tcW w:w="4680" w:type="dxa"/>
          </w:tcPr>
          <w:p>
            <w:pPr>
              <w:spacing w:after="0"/>
            </w:pPr>
            <w:r>
              <w:t xml:space="preserve">Honor link</w:t>
            </w:r>
          </w:p>
        </w:tc>
        <w:tc>
          <w:tcPr>
            <w:tcW w:w="4680" w:type="dxa"/>
          </w:tcPr>
          <w:p>
            <w:pPr>
              <w:spacing w:after="0"/>
            </w:pPr>
            <w:r>
              <w:rPr>
                <w:rFonts w:ascii="Consolas" w:hAnsi="Consolas"/>
              </w:rPr>
              <w:t xml:space="preserve">https://jrsstandard.com/honor.html?k=q7m2vd9xk4</w:t>
            </w:r>
          </w:p>
        </w:tc>
      </w:tr>
    </w:tbl>
    <w:p>
      <w:pPr/>
      <w:r>
        <w:t/>
      </w:r>
    </w:p>
    <w:p>
      <w:pPr>
        <w:pStyle w:val="Heading2"/>
        <w:spacing w:after="140"/>
      </w:pPr>
      <w:r>
        <w:t xml:space="preserve">4. What she produced</w:t>
      </w:r>
    </w:p>
    <w:p>
      <w:pPr>
        <w:spacing w:after="140"/>
      </w:pPr>
      <w:r>
        <w:rPr>
          <w:b/>
        </w:rPr>
        <w:t xml:space="preserve">The public-records case set.</w:t>
      </w:r>
      <w:r>
        <w:t xml:space="preserve"> 32 cases from 32 distinct public sources, collected 26 June to 8 August 2026, held in </w:t>
      </w:r>
      <w:r>
        <w:rPr>
          <w:rFonts w:ascii="Consolas" w:hAnsi="Consolas"/>
        </w:rPr>
        <w:t xml:space="preserve">bench_outcomes</w:t>
      </w:r>
      <w:r>
        <w:t xml:space="preserve"> under contributor E-08.</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Value</w:t>
            </w:r>
          </w:p>
        </w:tc>
      </w:tr>
      <w:tr>
        <w:tc>
          <w:tcPr>
            <w:tcW w:w="4680" w:type="dxa"/>
          </w:tcPr>
          <w:p>
            <w:pPr>
              <w:spacing w:after="0"/>
            </w:pPr>
            <w:r>
              <w:t xml:space="preserve">Cases</w:t>
            </w:r>
          </w:p>
        </w:tc>
        <w:tc>
          <w:tcPr>
            <w:tcW w:w="4680" w:type="dxa"/>
          </w:tcPr>
          <w:p>
            <w:pPr>
              <w:spacing w:after="0"/>
            </w:pPr>
            <w:r>
              <w:t xml:space="preserve">32</w:t>
            </w:r>
          </w:p>
        </w:tc>
      </w:tr>
      <w:tr>
        <w:tc>
          <w:tcPr>
            <w:tcW w:w="4680" w:type="dxa"/>
          </w:tcPr>
          <w:p>
            <w:pPr>
              <w:spacing w:after="0"/>
            </w:pPr>
            <w:r>
              <w:t xml:space="preserve">Distinct public sources</w:t>
            </w:r>
          </w:p>
        </w:tc>
        <w:tc>
          <w:tcPr>
            <w:tcW w:w="4680" w:type="dxa"/>
          </w:tcPr>
          <w:p>
            <w:pPr>
              <w:spacing w:after="0"/>
            </w:pPr>
            <w:r>
              <w:t xml:space="preserve">32, every one carrying a URL</w:t>
            </w:r>
          </w:p>
        </w:tc>
      </w:tr>
      <w:tr>
        <w:tc>
          <w:tcPr>
            <w:tcW w:w="4680" w:type="dxa"/>
          </w:tcPr>
          <w:p>
            <w:pPr>
              <w:spacing w:after="0"/>
            </w:pPr>
            <w:r>
              <w:t xml:space="preserve">Document classes</w:t>
            </w:r>
          </w:p>
        </w:tc>
        <w:tc>
          <w:tcPr>
            <w:tcW w:w="4680" w:type="dxa"/>
          </w:tcPr>
          <w:p>
            <w:pPr>
              <w:spacing w:after="0"/>
            </w:pPr>
            <w:r>
              <w:t xml:space="preserve">4</w:t>
            </w:r>
          </w:p>
        </w:tc>
      </w:tr>
      <w:tr>
        <w:tc>
          <w:tcPr>
            <w:tcW w:w="4680" w:type="dxa"/>
          </w:tcPr>
          <w:p>
            <w:pPr>
              <w:spacing w:after="0"/>
            </w:pPr>
            <w:r>
              <w:t xml:space="preserve">States</w:t>
            </w:r>
          </w:p>
        </w:tc>
        <w:tc>
          <w:tcPr>
            <w:tcW w:w="4680" w:type="dxa"/>
          </w:tcPr>
          <w:p>
            <w:pPr>
              <w:spacing w:after="0"/>
            </w:pPr>
            <w:r>
              <w:t xml:space="preserve">2 (New York, Connecticut)</w:t>
            </w:r>
          </w:p>
        </w:tc>
      </w:tr>
      <w:tr>
        <w:tc>
          <w:tcPr>
            <w:tcW w:w="4680" w:type="dxa"/>
          </w:tcPr>
          <w:p>
            <w:pPr>
              <w:spacing w:after="0"/>
            </w:pPr>
            <w:r>
              <w:t xml:space="preserve">Decision years covered</w:t>
            </w:r>
          </w:p>
        </w:tc>
        <w:tc>
          <w:tcPr>
            <w:tcW w:w="4680" w:type="dxa"/>
          </w:tcPr>
          <w:p>
            <w:pPr>
              <w:spacing w:after="0"/>
            </w:pPr>
            <w:r>
              <w:t xml:space="preserve">2005 to 2026, 11 distinct years</w:t>
            </w:r>
          </w:p>
        </w:tc>
      </w:tr>
      <w:tr>
        <w:tc>
          <w:tcPr>
            <w:tcW w:w="4680" w:type="dxa"/>
          </w:tcPr>
          <w:p>
            <w:pPr>
              <w:spacing w:after="0"/>
            </w:pPr>
            <w:r>
              <w:t xml:space="preserve">Reads produced</w:t>
            </w:r>
          </w:p>
        </w:tc>
        <w:tc>
          <w:tcPr>
            <w:tcW w:w="4680" w:type="dxa"/>
          </w:tcPr>
          <w:p>
            <w:pPr>
              <w:spacing w:after="0"/>
            </w:pPr>
            <w:r>
              <w:t xml:space="preserve">18 Ready, 9 Needs work, 5 Gap</w:t>
            </w:r>
          </w:p>
        </w:tc>
      </w:tr>
      <w:tr>
        <w:tc>
          <w:tcPr>
            <w:tcW w:w="4680" w:type="dxa"/>
          </w:tcPr>
          <w:p>
            <w:pPr>
              <w:spacing w:after="0"/>
            </w:pPr>
            <w:r>
              <w:t xml:space="preserve">Outcomes recorded</w:t>
            </w:r>
          </w:p>
        </w:tc>
        <w:tc>
          <w:tcPr>
            <w:tcW w:w="4680" w:type="dxa"/>
          </w:tcPr>
          <w:p>
            <w:pPr>
              <w:spacing w:after="0"/>
            </w:pPr>
            <w:r>
              <w:t xml:space="preserve">15 did not survive review, 7 contested, 5 sustained, 5 adverse audit findings</w:t>
            </w:r>
          </w:p>
        </w:tc>
      </w:tr>
      <w:tr>
        <w:tc>
          <w:tcPr>
            <w:tcW w:w="4680" w:type="dxa"/>
          </w:tcPr>
          <w:p>
            <w:pPr>
              <w:spacing w:after="0"/>
            </w:pPr>
            <w:r>
              <w:t xml:space="preserve">Cases carrying a contemporaneous basis note</w:t>
            </w:r>
          </w:p>
        </w:tc>
        <w:tc>
          <w:tcPr>
            <w:tcW w:w="4680" w:type="dxa"/>
          </w:tcPr>
          <w:p>
            <w:pPr>
              <w:spacing w:after="0"/>
            </w:pPr>
            <w:r>
              <w:t xml:space="preserve">28 of 32 (88%), mean 211 characters</w:t>
            </w:r>
          </w:p>
        </w:tc>
      </w:tr>
      <w:tr>
        <w:tc>
          <w:tcPr>
            <w:tcW w:w="4680" w:type="dxa"/>
          </w:tcPr>
          <w:p>
            <w:pPr>
              <w:spacing w:after="0"/>
            </w:pPr>
            <w:r>
              <w:t xml:space="preserve">Mean record summary length</w:t>
            </w:r>
          </w:p>
        </w:tc>
        <w:tc>
          <w:tcPr>
            <w:tcW w:w="4680" w:type="dxa"/>
          </w:tcPr>
          <w:p>
            <w:pPr>
              <w:spacing w:after="0"/>
            </w:pPr>
            <w:r>
              <w:t xml:space="preserve">319 characters</w:t>
            </w:r>
          </w:p>
        </w:tc>
      </w:tr>
      <w:tr>
        <w:tc>
          <w:tcPr>
            <w:tcW w:w="4680" w:type="dxa"/>
          </w:tcPr>
          <w:p>
            <w:pPr>
              <w:spacing w:after="0"/>
            </w:pPr>
            <w:r>
              <w:t xml:space="preserve">Distinct FOIL issues represented</w:t>
            </w:r>
          </w:p>
        </w:tc>
        <w:tc>
          <w:tcPr>
            <w:tcW w:w="4680" w:type="dxa"/>
          </w:tcPr>
          <w:p>
            <w:pPr>
              <w:spacing w:after="0"/>
            </w:pPr>
            <w:r>
              <w:t xml:space="preserve">at least 12</w:t>
            </w:r>
          </w:p>
        </w:tc>
      </w:tr>
    </w:tbl>
    <w:p>
      <w:pPr/>
      <w:r>
        <w:t/>
      </w:r>
    </w:p>
    <w:p>
      <w:pPr>
        <w:spacing w:after="140"/>
      </w:pPr>
      <w:r>
        <w:rPr>
          <w:b/>
        </w:rPr>
        <w:t xml:space="preserve">Document classes.</w:t>
      </w:r>
      <w:r>
        <w:t xml:space="preserve"> New York appellate and trial-level decisions (18); New York Committee on Open Government advisory opinions (7); Connecticut Freedom of Information Commission final decisions (2); New York State and New York City Comptroller compliance audits (5).</w:t>
      </w:r>
    </w:p>
    <w:p>
      <w:pPr>
        <w:spacing w:after="140"/>
      </w:pPr>
      <w:r>
        <w:rPr>
          <w:b/>
        </w:rPr>
        <w:t xml:space="preserve">Issues covered.</w:t>
      </w:r>
      <w:r>
        <w:t xml:space="preserve"> Personal privacy (9 cases), law-enforcement disciplinary records (5), burden and volume objections (3), law-enforcement exemption (2), constructive denial (2), timeliness (2), reasonable description, in-camera review, sealed and erased records, commercial confidentiality, life-and-safety withholding, refusal to confirm or deny.</w:t>
      </w:r>
    </w:p>
    <w:p>
      <w:pPr>
        <w:spacing w:after="140"/>
      </w:pPr>
      <w:r>
        <w:rPr>
          <w:b/>
        </w:rPr>
        <w:t xml:space="preserve">Collection pattern.</w:t>
      </w:r>
      <w:r>
        <w:t xml:space="preserve"> 7 cases by 6 July. 25 further cases entered on 8 August, which is the batch that took the study past its pre-registered target and made every analysis possible.</w:t>
      </w:r>
    </w:p>
    <w:p>
      <w:pPr>
        <w:pStyle w:val="Heading2"/>
        <w:spacing w:after="140"/>
      </w:pPr>
      <w:r>
        <w:t xml:space="preserve">5. What her work established</w:t>
      </w:r>
    </w:p>
    <w:p>
      <w:pPr>
        <w:spacing w:after="140"/>
      </w:pPr>
      <w:r>
        <w:t xml:space="preserve">Computed by </w:t>
      </w:r>
      <w:r>
        <w:rPr>
          <w:rFonts w:ascii="Consolas" w:hAnsi="Consolas"/>
        </w:rPr>
        <w:t xml:space="preserve">research/analysis_foil_2026-08-08.py</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Result</w:t>
            </w:r>
          </w:p>
        </w:tc>
        <w:tc>
          <w:tcPr>
            <w:tcW w:w="4680" w:type="dxa"/>
          </w:tcPr>
          <w:p>
            <w:pPr>
              <w:spacing w:after="0"/>
            </w:pPr>
            <w:r>
              <w:t xml:space="preserve">Finding</w:t>
            </w:r>
          </w:p>
        </w:tc>
      </w:tr>
      <w:tr>
        <w:tc>
          <w:tcPr>
            <w:tcW w:w="4680" w:type="dxa"/>
          </w:tcPr>
          <w:p>
            <w:pPr>
              <w:spacing w:after="0"/>
            </w:pPr>
            <w:r>
              <w:t xml:space="preserve">Convergent validity</w:t>
            </w:r>
          </w:p>
        </w:tc>
        <w:tc>
          <w:tcPr>
            <w:tcW w:w="4680" w:type="dxa"/>
          </w:tcPr>
          <w:p>
            <w:pPr>
              <w:spacing w:after="0"/>
            </w:pPr>
            <w:r>
              <w:t xml:space="preserve">5 of 5 concordance between her Gap reads and independent Comptroller audit findings, reads recorded before the auditor's conclusion was consulted</w:t>
            </w:r>
          </w:p>
        </w:tc>
      </w:tr>
      <w:tr>
        <w:tc>
          <w:tcPr>
            <w:tcW w:w="4680" w:type="dxa"/>
          </w:tcPr>
          <w:p>
            <w:pPr>
              <w:spacing w:after="0"/>
            </w:pPr>
            <w:r>
              <w:t xml:space="preserve">Construct validity</w:t>
            </w:r>
          </w:p>
        </w:tc>
        <w:tc>
          <w:tcPr>
            <w:tcW w:w="4680" w:type="dxa"/>
          </w:tcPr>
          <w:p>
            <w:pPr>
              <w:spacing w:after="0"/>
            </w:pPr>
            <w:r>
              <w:t xml:space="preserve">6 of 9 Needs work notes record a reconstructability failure against 0 of 18 Ready notes; 11 of 18 Ready notes record the opposite. Fisher's exact, two-sided, p = 0.00028</w:t>
            </w:r>
          </w:p>
        </w:tc>
      </w:tr>
      <w:tr>
        <w:tc>
          <w:tcPr>
            <w:tcW w:w="4680" w:type="dxa"/>
          </w:tcPr>
          <w:p>
            <w:pPr>
              <w:spacing w:after="0"/>
            </w:pPr>
            <w:r>
              <w:t xml:space="preserve">Discriminant validity</w:t>
            </w:r>
          </w:p>
        </w:tc>
        <w:tc>
          <w:tcPr>
            <w:tcW w:w="4680" w:type="dxa"/>
          </w:tcPr>
          <w:p>
            <w:pPr>
              <w:spacing w:after="0"/>
            </w:pPr>
            <w:r>
              <w:t xml:space="preserve">Sources reproducing the determination text read Ready 6 of 7; sources assessing records in camera or in aggregate 0 of 7. p = 0.00466. Gap reads concentrate 5 of 5 in programme-level audits against 0 of 27 case-level sources, p = 0.0000050</w:t>
            </w:r>
          </w:p>
        </w:tc>
      </w:tr>
      <w:tr>
        <w:tc>
          <w:tcPr>
            <w:tcW w:w="4680" w:type="dxa"/>
          </w:tcPr>
          <w:p>
            <w:pPr>
              <w:spacing w:after="0"/>
            </w:pPr>
            <w:r>
              <w:t xml:space="preserve">Specification check</w:t>
            </w:r>
          </w:p>
        </w:tc>
        <w:tc>
          <w:tcPr>
            <w:tcW w:w="4680" w:type="dxa"/>
          </w:tcPr>
          <w:p>
            <w:pPr>
              <w:spacing w:after="0"/>
            </w:pPr>
            <w:r>
              <w:t xml:space="preserve">Read against appellate win or loss, p = 1.000, null, reported as one</w:t>
            </w:r>
          </w:p>
        </w:tc>
      </w:tr>
      <w:tr>
        <w:tc>
          <w:tcPr>
            <w:tcW w:w="4680" w:type="dxa"/>
          </w:tcPr>
          <w:p>
            <w:pPr>
              <w:spacing w:after="0"/>
            </w:pPr>
            <w:r>
              <w:t xml:space="preserve">Cross-domain replication</w:t>
            </w:r>
          </w:p>
        </w:tc>
        <w:tc>
          <w:tcPr>
            <w:tcW w:w="4680" w:type="dxa"/>
          </w:tcPr>
          <w:p>
            <w:pPr>
              <w:spacing w:after="0"/>
            </w:pPr>
            <w:r>
              <w:t xml:space="preserve">The same instrument in an employment-law corpus of 22 adjudicated matters, read by a different reviewer, does show the outcome association: 6 of 8 sustained against 1 of 8, p = 0.041, odds ratio 21.0. Her null is therefore a boundary condition with evidence on both sides, not an unexplained gap. Section 5.6 of her paper</w:t>
            </w:r>
          </w:p>
        </w:tc>
      </w:tr>
    </w:tbl>
    <w:p>
      <w:pPr/>
      <w:r>
        <w:t/>
      </w:r>
    </w:p>
    <w:p>
      <w:pPr>
        <w:spacing w:after="140"/>
      </w:pPr>
      <w:r>
        <w:rPr>
          <w:b/>
        </w:rPr>
        <w:t xml:space="preserve">The contribution that is hers alone.</w:t>
      </w:r>
      <w:r>
        <w:t xml:space="preserve"> She recorded a written basis for 28 of 32 reads, before knowing the outcome. Without those notes the construct-validity result does not exist and the paper has no way to show what its readings were measuring. She also brought the Chief FOIA Officers Council memorandum of 28 May 2026 to the project's attention, which supplies the paper's timing and its opening argument.</w:t>
      </w:r>
    </w:p>
    <w:p>
      <w:pPr>
        <w:spacing w:after="140"/>
      </w:pPr>
      <w:r>
        <w:rPr>
          <w:b/>
        </w:rPr>
        <w:t xml:space="preserve">Corpus breadth she assembled.</w:t>
      </w:r>
      <w:r>
        <w:t xml:space="preserve"> Four document classes, two states, decisions spanning 2005 to 2026 across 11 distinct years, at least 12 distinct FOIL issues led by personal privacy (9 cases) and law-enforcement disciplinary records (5), every case carrying a public URL, and a mean record summary of 319 characters.</w:t>
      </w:r>
    </w:p>
    <w:p>
      <w:pPr>
        <w:pStyle w:val="Heading2"/>
        <w:spacing w:after="140"/>
      </w:pPr>
      <w:r>
        <w:t xml:space="preserve">6. Artifacts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Artifact</w:t>
            </w:r>
          </w:p>
        </w:tc>
        <w:tc>
          <w:tcPr>
            <w:tcW w:w="4680" w:type="dxa"/>
          </w:tcPr>
          <w:p>
            <w:pPr>
              <w:spacing w:after="0"/>
            </w:pPr>
            <w:r>
              <w:t xml:space="preserve">File</w:t>
            </w:r>
          </w:p>
        </w:tc>
      </w:tr>
      <w:tr>
        <w:tc>
          <w:tcPr>
            <w:tcW w:w="4680" w:type="dxa"/>
          </w:tcPr>
          <w:p>
            <w:pPr>
              <w:spacing w:after="0"/>
            </w:pPr>
            <w:r>
              <w:t xml:space="preserve">Manuscript, submission-ready, she is first author</w:t>
            </w:r>
          </w:p>
        </w:tc>
        <w:tc>
          <w:tcPr>
            <w:tcW w:w="4680" w:type="dxa"/>
          </w:tcPr>
          <w:p>
            <w:pPr>
              <w:spacing w:after="0"/>
            </w:pPr>
            <w:r>
              <w:rPr>
                <w:rFonts w:ascii="Consolas" w:hAnsi="Consolas"/>
              </w:rPr>
              <w:t xml:space="preserve">research/FOIL_Article_Draft.md</w:t>
            </w:r>
            <w:r>
              <w:t xml:space="preserve"> and </w:t>
            </w:r>
            <w:r>
              <w:rPr>
                <w:rFonts w:ascii="Consolas" w:hAnsi="Consolas"/>
              </w:rPr>
              <w:t xml:space="preserve">.docx</w:t>
            </w:r>
          </w:p>
        </w:tc>
      </w:tr>
      <w:tr>
        <w:tc>
          <w:tcPr>
            <w:tcW w:w="4680" w:type="dxa"/>
          </w:tcPr>
          <w:p>
            <w:pPr>
              <w:spacing w:after="0"/>
            </w:pPr>
            <w:r>
              <w:t xml:space="preserve">Companion manuscript supplying the cross-domain result cited in her Section 5.6</w:t>
            </w:r>
          </w:p>
        </w:tc>
        <w:tc>
          <w:tcPr>
            <w:tcW w:w="4680" w:type="dxa"/>
          </w:tcPr>
          <w:p>
            <w:pPr>
              <w:spacing w:after="0"/>
            </w:pPr>
            <w:r>
              <w:rPr>
                <w:rFonts w:ascii="Consolas" w:hAnsi="Consolas"/>
              </w:rPr>
              <w:t xml:space="preserve">research/BusinessEthics_Article_Draft.md</w:t>
            </w:r>
            <w:r>
              <w:t xml:space="preserve"> (the employment corpus was consolidated there on 2026-08-08)</w:t>
            </w:r>
          </w:p>
        </w:tc>
      </w:tr>
      <w:tr>
        <w:tc>
          <w:tcPr>
            <w:tcW w:w="4680" w:type="dxa"/>
          </w:tcPr>
          <w:p>
            <w:pPr>
              <w:spacing w:after="0"/>
            </w:pPr>
            <w:r>
              <w:t xml:space="preserve">Final sweep analysis, all four programme findings</w:t>
            </w:r>
          </w:p>
        </w:tc>
        <w:tc>
          <w:tcPr>
            <w:tcW w:w="4680" w:type="dxa"/>
          </w:tcPr>
          <w:p>
            <w:pPr>
              <w:spacing w:after="0"/>
            </w:pPr>
            <w:r>
              <w:rPr>
                <w:rFonts w:ascii="Consolas" w:hAnsi="Consolas"/>
              </w:rPr>
              <w:t xml:space="preserve">research/analysis_final_sweep_2026-08-08.py</w:t>
            </w:r>
          </w:p>
        </w:tc>
      </w:tr>
      <w:tr>
        <w:tc>
          <w:tcPr>
            <w:tcW w:w="4680" w:type="dxa"/>
          </w:tcPr>
          <w:p>
            <w:pPr>
              <w:spacing w:after="0"/>
            </w:pPr>
            <w:r>
              <w:t xml:space="preserve">Analysis script, standard library only, carries the note-coding frame</w:t>
            </w:r>
          </w:p>
        </w:tc>
        <w:tc>
          <w:tcPr>
            <w:tcW w:w="4680" w:type="dxa"/>
          </w:tcPr>
          <w:p>
            <w:pPr>
              <w:spacing w:after="0"/>
            </w:pPr>
            <w:r>
              <w:rPr>
                <w:rFonts w:ascii="Consolas" w:hAnsi="Consolas"/>
              </w:rPr>
              <w:t xml:space="preserve">research/analysis_foil_2026-08-08.py</w:t>
            </w:r>
          </w:p>
        </w:tc>
      </w:tr>
      <w:tr>
        <w:tc>
          <w:tcPr>
            <w:tcW w:w="4680" w:type="dxa"/>
          </w:tcPr>
          <w:p>
            <w:pPr>
              <w:spacing w:after="0"/>
            </w:pPr>
            <w:r>
              <w:t xml:space="preserve">Message: results, first authorship, Honor, quote request</w:t>
            </w:r>
          </w:p>
        </w:tc>
        <w:tc>
          <w:tcPr>
            <w:tcW w:w="4680" w:type="dxa"/>
          </w:tcPr>
          <w:p>
            <w:pPr>
              <w:spacing w:after="0"/>
            </w:pPr>
            <w:r>
              <w:rPr>
                <w:rFonts w:ascii="Consolas" w:hAnsi="Consolas"/>
              </w:rPr>
              <w:t xml:space="preserve">research/Message_Stacy_Young_Honor_and_Results_2026-08-08.md</w:t>
            </w:r>
          </w:p>
        </w:tc>
      </w:tr>
      <w:tr>
        <w:tc>
          <w:tcPr>
            <w:tcW w:w="4680" w:type="dxa"/>
          </w:tcPr>
          <w:p>
            <w:pPr>
              <w:spacing w:after="0"/>
            </w:pPr>
            <w:r>
              <w:t xml:space="preserve">Chief FOIA Officers Council submissions in her name</w:t>
            </w:r>
          </w:p>
        </w:tc>
        <w:tc>
          <w:tcPr>
            <w:tcW w:w="4680" w:type="dxa"/>
          </w:tcPr>
          <w:p>
            <w:pPr>
              <w:spacing w:after="0"/>
            </w:pPr>
            <w:r>
              <w:rPr>
                <w:rFonts w:ascii="Consolas" w:hAnsi="Consolas"/>
              </w:rPr>
              <w:t xml:space="preserve">research/CFOC_Submission_2026-08-08.md</w:t>
            </w:r>
          </w:p>
        </w:tc>
      </w:tr>
      <w:tr>
        <w:tc>
          <w:tcPr>
            <w:tcW w:w="4680" w:type="dxa"/>
          </w:tcPr>
          <w:p>
            <w:pPr>
              <w:spacing w:after="0"/>
            </w:pPr>
            <w:r>
              <w:t xml:space="preserve">Honor acceptance endpoint</w:t>
            </w:r>
          </w:p>
        </w:tc>
        <w:tc>
          <w:tcPr>
            <w:tcW w:w="4680" w:type="dxa"/>
          </w:tcPr>
          <w:p>
            <w:pPr>
              <w:spacing w:after="0"/>
            </w:pPr>
            <w:r>
              <w:rPr>
                <w:rFonts w:ascii="Consolas" w:hAnsi="Consolas"/>
              </w:rPr>
              <w:t xml:space="preserve">api/honor.js</w:t>
            </w:r>
          </w:p>
        </w:tc>
      </w:tr>
      <w:tr>
        <w:tc>
          <w:tcPr>
            <w:tcW w:w="4680" w:type="dxa"/>
          </w:tcPr>
          <w:p>
            <w:pPr>
              <w:spacing w:after="0"/>
            </w:pPr>
            <w:r>
              <w:t xml:space="preserve">Honor acceptance page</w:t>
            </w:r>
          </w:p>
        </w:tc>
        <w:tc>
          <w:tcPr>
            <w:tcW w:w="4680" w:type="dxa"/>
          </w:tcPr>
          <w:p>
            <w:pPr>
              <w:spacing w:after="0"/>
            </w:pPr>
            <w:r>
              <w:rPr>
                <w:rFonts w:ascii="Consolas" w:hAnsi="Consolas"/>
              </w:rPr>
              <w:t xml:space="preserve">honor.html</w:t>
            </w:r>
          </w:p>
        </w:tc>
      </w:tr>
      <w:tr>
        <w:tc>
          <w:tcPr>
            <w:tcW w:w="4680" w:type="dxa"/>
          </w:tcPr>
          <w:p>
            <w:pPr>
              <w:spacing w:after="0"/>
            </w:pPr>
            <w:r>
              <w:t xml:space="preserve">Honor disclosure pack, citation with sources, every stop point</w:t>
            </w:r>
          </w:p>
        </w:tc>
        <w:tc>
          <w:tcPr>
            <w:tcW w:w="4680" w:type="dxa"/>
          </w:tcPr>
          <w:p>
            <w:pPr>
              <w:spacing w:after="0"/>
            </w:pPr>
            <w:r>
              <w:rPr>
                <w:rFonts w:ascii="Consolas" w:hAnsi="Consolas"/>
              </w:rPr>
              <w:t xml:space="preserve">research/Honor_Materials_For_Stacy_Review_2026-08-08.md</w:t>
            </w:r>
            <w:r>
              <w:t xml:space="preserve"> and </w:t>
            </w:r>
            <w:r>
              <w:rPr>
                <w:rFonts w:ascii="Consolas" w:hAnsi="Consolas"/>
              </w:rPr>
              <w:t xml:space="preserve">.docx</w:t>
            </w:r>
          </w:p>
        </w:tc>
      </w:tr>
      <w:tr>
        <w:tc>
          <w:tcPr>
            <w:tcW w:w="4680" w:type="dxa"/>
          </w:tcPr>
          <w:p>
            <w:pPr>
              <w:spacing w:after="0"/>
            </w:pPr>
            <w:r>
              <w:t xml:space="preserve">Honor certificate, issued</w:t>
            </w:r>
          </w:p>
        </w:tc>
        <w:tc>
          <w:tcPr>
            <w:tcW w:w="4680" w:type="dxa"/>
          </w:tcPr>
          <w:p>
            <w:pPr>
              <w:spacing w:after="0"/>
            </w:pPr>
            <w:r>
              <w:rPr>
                <w:rFonts w:ascii="Consolas" w:hAnsi="Consolas"/>
              </w:rPr>
              <w:t xml:space="preserve">research/JRS_Honor_Certificate_Stacyann_Young.pdf</w:t>
            </w:r>
          </w:p>
        </w:tc>
      </w:tr>
      <w:tr>
        <w:tc>
          <w:tcPr>
            <w:tcW w:w="4680" w:type="dxa"/>
          </w:tcPr>
          <w:p>
            <w:pPr>
              <w:spacing w:after="0"/>
            </w:pPr>
            <w:r>
              <w:t xml:space="preserve">Blind second-reader packet, ten cases, no key</w:t>
            </w:r>
          </w:p>
        </w:tc>
        <w:tc>
          <w:tcPr>
            <w:tcW w:w="4680" w:type="dxa"/>
          </w:tcPr>
          <w:p>
            <w:pPr>
              <w:spacing w:after="0"/>
            </w:pPr>
            <w:r>
              <w:rPr>
                <w:rFonts w:ascii="Consolas" w:hAnsi="Consolas"/>
              </w:rPr>
              <w:t xml:space="preserve">research/Blind_Recheck_Packet_E08.md</w:t>
            </w:r>
            <w:r>
              <w:t xml:space="preserve"> and </w:t>
            </w:r>
            <w:r>
              <w:rPr>
                <w:rFonts w:ascii="Consolas" w:hAnsi="Consolas"/>
              </w:rPr>
              <w:t xml:space="preserve">.docx</w:t>
            </w:r>
          </w:p>
        </w:tc>
      </w:tr>
      <w:tr>
        <w:tc>
          <w:tcPr>
            <w:tcW w:w="4680" w:type="dxa"/>
          </w:tcPr>
          <w:p>
            <w:pPr>
              <w:spacing w:after="0"/>
            </w:pPr>
            <w:r>
              <w:t xml:space="preserve">Answer key for the blind re-read, NOT to be sent</w:t>
            </w:r>
          </w:p>
        </w:tc>
        <w:tc>
          <w:tcPr>
            <w:tcW w:w="4680" w:type="dxa"/>
          </w:tcPr>
          <w:p>
            <w:pPr>
              <w:spacing w:after="0"/>
            </w:pPr>
            <w:r>
              <w:rPr>
                <w:rFonts w:ascii="Consolas" w:hAnsi="Consolas"/>
              </w:rPr>
              <w:t xml:space="preserve">research/Blind_Recheck_KEY_E08.md</w:t>
            </w:r>
          </w:p>
        </w:tc>
      </w:tr>
      <w:tr>
        <w:tc>
          <w:tcPr>
            <w:tcW w:w="4680" w:type="dxa"/>
          </w:tcPr>
          <w:p>
            <w:pPr>
              <w:spacing w:after="0"/>
            </w:pPr>
            <w:r>
              <w:t xml:space="preserve">Packet generator, stdlib only, reproducible selection</w:t>
            </w:r>
          </w:p>
        </w:tc>
        <w:tc>
          <w:tcPr>
            <w:tcW w:w="4680" w:type="dxa"/>
          </w:tcPr>
          <w:p>
            <w:pPr>
              <w:spacing w:after="0"/>
            </w:pPr>
            <w:r>
              <w:rPr>
                <w:rFonts w:ascii="Consolas" w:hAnsi="Consolas"/>
              </w:rPr>
              <w:t xml:space="preserve">research/build_blind_recheck_packet.py</w:t>
            </w:r>
          </w:p>
        </w:tc>
      </w:tr>
      <w:tr>
        <w:tc>
          <w:tcPr>
            <w:tcW w:w="4680" w:type="dxa"/>
          </w:tcPr>
          <w:p>
            <w:pPr>
              <w:spacing w:after="0"/>
            </w:pPr>
            <w:r>
              <w:t xml:space="preserve">Reply to her 2026-08-08 message</w:t>
            </w:r>
          </w:p>
        </w:tc>
        <w:tc>
          <w:tcPr>
            <w:tcW w:w="4680" w:type="dxa"/>
          </w:tcPr>
          <w:p>
            <w:pPr>
              <w:spacing w:after="0"/>
            </w:pPr>
            <w:r>
              <w:rPr>
                <w:rFonts w:ascii="Consolas" w:hAnsi="Consolas"/>
              </w:rPr>
              <w:t xml:space="preserve">research/Message_Stacy_Young_Reply_2026-08-08b.md</w:t>
            </w:r>
            <w:r>
              <w:t xml:space="preserve"> and </w:t>
            </w:r>
            <w:r>
              <w:rPr>
                <w:rFonts w:ascii="Consolas" w:hAnsi="Consolas"/>
              </w:rPr>
              <w:t xml:space="preserve">.docx</w:t>
            </w:r>
          </w:p>
        </w:tc>
      </w:tr>
      <w:tr>
        <w:tc>
          <w:tcPr>
            <w:tcW w:w="4680" w:type="dxa"/>
          </w:tcPr>
          <w:p>
            <w:pPr>
              <w:spacing w:after="0"/>
            </w:pPr>
            <w:r>
              <w:t xml:space="preserve">Reply to her 2026-08-09 messages, drafted, not sent</w:t>
            </w:r>
          </w:p>
        </w:tc>
        <w:tc>
          <w:tcPr>
            <w:tcW w:w="4680" w:type="dxa"/>
          </w:tcPr>
          <w:p>
            <w:pPr>
              <w:spacing w:after="0"/>
            </w:pPr>
            <w:r>
              <w:rPr>
                <w:rFonts w:ascii="Consolas" w:hAnsi="Consolas"/>
              </w:rPr>
              <w:t xml:space="preserve">research/Message_Stacyann_Young_Reply_2026-08-09.md</w:t>
            </w:r>
            <w:r>
              <w:t xml:space="preserve">, </w:t>
            </w:r>
            <w:r>
              <w:rPr>
                <w:rFonts w:ascii="Consolas" w:hAnsi="Consolas"/>
              </w:rPr>
              <w:t xml:space="preserve">...-09b.md</w:t>
            </w:r>
            <w:r>
              <w:t xml:space="preserve"> and </w:t>
            </w:r>
            <w:r>
              <w:rPr>
                <w:rFonts w:ascii="Consolas" w:hAnsi="Consolas"/>
              </w:rPr>
              <w:t xml:space="preserve">.docx</w:t>
            </w:r>
          </w:p>
        </w:tc>
      </w:tr>
      <w:tr>
        <w:tc>
          <w:tcPr>
            <w:tcW w:w="4680" w:type="dxa"/>
          </w:tcPr>
          <w:p>
            <w:pPr>
              <w:spacing w:after="0"/>
            </w:pPr>
            <w:r>
              <w:t xml:space="preserve">Blind second-read links, three slots</w:t>
            </w:r>
          </w:p>
        </w:tc>
        <w:tc>
          <w:tcPr>
            <w:tcW w:w="4680" w:type="dxa"/>
          </w:tcPr>
          <w:p>
            <w:pPr>
              <w:spacing w:after="0"/>
            </w:pPr>
            <w:r>
              <w:rPr>
                <w:rFonts w:ascii="Consolas" w:hAnsi="Consolas"/>
              </w:rPr>
              <w:t xml:space="preserve">research/Blind_Recheck_Links_2026-08-09.md</w:t>
            </w:r>
          </w:p>
        </w:tc>
      </w:tr>
      <w:tr>
        <w:tc>
          <w:tcPr>
            <w:tcW w:w="4680" w:type="dxa"/>
          </w:tcPr>
          <w:p>
            <w:pPr>
              <w:spacing w:after="0"/>
            </w:pPr>
            <w:r>
              <w:t xml:space="preserve">This dossier</w:t>
            </w:r>
          </w:p>
        </w:tc>
        <w:tc>
          <w:tcPr>
            <w:tcW w:w="4680" w:type="dxa"/>
          </w:tcPr>
          <w:p>
            <w:pPr>
              <w:spacing w:after="0"/>
            </w:pPr>
            <w:r>
              <w:rPr>
                <w:rFonts w:ascii="Consolas" w:hAnsi="Consolas"/>
              </w:rPr>
              <w:t xml:space="preserve">research/Dossier_Stacyann_Young_2026-08-09.md</w:t>
            </w:r>
          </w:p>
        </w:tc>
      </w:tr>
    </w:tbl>
    <w:p>
      <w:pPr/>
      <w:r>
        <w:t/>
      </w:r>
    </w:p>
    <w:p>
      <w:pPr>
        <w:pStyle w:val="Heading2"/>
        <w:spacing w:after="140"/>
      </w:pPr>
      <w:r>
        <w:t xml:space="preserve">7. Correspondence on file</w:t>
      </w:r>
    </w:p>
    <w:p>
      <w:pPr>
        <w:spacing w:after="140"/>
      </w:pPr>
      <w:r>
        <w:rPr>
          <w:b/>
        </w:rPr>
        <w:t xml:space="preserve">2026-08-08, from her, after receiving the results and the Honor offer.</w:t>
      </w:r>
      <w:r>
        <w:t xml:space="preserve"> Encouraged by the results, singling out the agreement between her initial reads and the Comptroller findings and the way the notes strengthened the analysis. Will review Sections 4 and 5 and the full manuscript before approving submission. Agrees a blind review of ten cases would strengthen the study. Asks to review the drafts to Dr. Frazier and the Council, and the honor materials, before anything is submitted or published in her name. Signs "Stacyann".</w:t>
      </w:r>
    </w:p>
    <w:p>
      <w:pPr>
        <w:spacing w:after="140"/>
      </w:pPr>
      <w:r>
        <w:rPr>
          <w:b/>
        </w:rPr>
        <w:t xml:space="preserve">2026-08-07, from her.</w:t>
      </w:r>
      <w:r>
        <w:t xml:space="preserve"> Reports completing "25+ cases (sorry, I lost count!)" ready for review; asks for thoughts on how they look and whether the format and level of detail are working for the project; thanks him for congratulations to pass to her mother, who is "very excited about this next chapter"; says she is looking forward to feedback and to continuing to build. Signs "Stacyann".</w:t>
      </w:r>
    </w:p>
    <w:p>
      <w:pPr>
        <w:spacing w:after="140"/>
      </w:pPr>
      <w:r>
        <w:rPr>
          <w:b/>
        </w:rPr>
        <w:t xml:space="preserve">Earlier.</w:t>
      </w:r>
      <w:r>
        <w:t xml:space="preserve"> Accepted co-authorship 2026-07-09 and committed to building out more cases. Recorded in the tracker on 2026-08-04 as at n=7 with a target of 20 to 30 and a collection deadline of 31 August 2026, which she beat by three weeks.</w:t>
      </w:r>
    </w:p>
    <w:p>
      <w:pPr>
        <w:pStyle w:val="Heading2"/>
        <w:spacing w:after="140"/>
      </w:pPr>
      <w:r>
        <w:t xml:space="preserve">8. Standing and permissions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Co-authorship</w:t>
            </w:r>
          </w:p>
        </w:tc>
        <w:tc>
          <w:tcPr>
            <w:tcW w:w="4680" w:type="dxa"/>
          </w:tcPr>
          <w:p>
            <w:pPr>
              <w:spacing w:after="0"/>
            </w:pPr>
            <w:r>
              <w:t xml:space="preserve">Accepted 2026-07-09. Now first author</w:t>
            </w:r>
          </w:p>
        </w:tc>
      </w:tr>
      <w:tr>
        <w:tc>
          <w:tcPr>
            <w:tcW w:w="4680" w:type="dxa"/>
          </w:tcPr>
          <w:p>
            <w:pPr>
              <w:spacing w:after="0"/>
            </w:pPr>
            <w:r>
              <w:t xml:space="preserve">Approval before submission</w:t>
            </w:r>
          </w:p>
        </w:tc>
        <w:tc>
          <w:tcPr>
            <w:tcW w:w="4680" w:type="dxa"/>
          </w:tcPr>
          <w:p>
            <w:pPr>
              <w:spacing w:after="0"/>
            </w:pPr>
            <w:r>
              <w:t xml:space="preserve">Required. Nothing submitted without her sign-off on the full text</w:t>
            </w:r>
          </w:p>
        </w:tc>
      </w:tr>
      <w:tr>
        <w:tc>
          <w:tcPr>
            <w:tcW w:w="4680" w:type="dxa"/>
          </w:tcPr>
          <w:p>
            <w:pPr>
              <w:spacing w:after="0"/>
            </w:pPr>
            <w:r>
              <w:t xml:space="preserve">Quote for the article</w:t>
            </w:r>
          </w:p>
        </w:tc>
        <w:tc>
          <w:tcPr>
            <w:tcW w:w="4680" w:type="dxa"/>
          </w:tcPr>
          <w:p>
            <w:pPr>
              <w:spacing w:after="0"/>
            </w:pPr>
            <w:r>
              <w:t xml:space="preserve">Requested via the Honor link, not yet received</w:t>
            </w:r>
          </w:p>
        </w:tc>
      </w:tr>
      <w:tr>
        <w:tc>
          <w:tcPr>
            <w:tcW w:w="4680" w:type="dxa"/>
          </w:tcPr>
          <w:p>
            <w:pPr>
              <w:spacing w:after="0"/>
            </w:pPr>
            <w:r>
              <w:t xml:space="preserve">Printed name and title</w:t>
            </w:r>
          </w:p>
        </w:tc>
        <w:tc>
          <w:tcPr>
            <w:tcW w:w="4680" w:type="dxa"/>
          </w:tcPr>
          <w:p>
            <w:pPr>
              <w:spacing w:after="0"/>
            </w:pPr>
            <w:r>
              <w:t xml:space="preserve">To be confirmed by her via the Honor link</w:t>
            </w:r>
          </w:p>
        </w:tc>
      </w:tr>
      <w:tr>
        <w:tc>
          <w:tcPr>
            <w:tcW w:w="4680" w:type="dxa"/>
          </w:tcPr>
          <w:p>
            <w:pPr>
              <w:spacing w:after="0"/>
            </w:pPr>
            <w:r>
              <w:t xml:space="preserve">Contact address</w:t>
            </w:r>
          </w:p>
        </w:tc>
        <w:tc>
          <w:tcPr>
            <w:tcW w:w="4680" w:type="dxa"/>
          </w:tcPr>
          <w:p>
            <w:pPr>
              <w:spacing w:after="0"/>
            </w:pPr>
            <w:r>
              <w:t xml:space="preserve">To be captured via the Honor link</w:t>
            </w:r>
          </w:p>
        </w:tc>
      </w:tr>
      <w:tr>
        <w:tc>
          <w:tcPr>
            <w:tcW w:w="4680" w:type="dxa"/>
          </w:tcPr>
          <w:p>
            <w:pPr>
              <w:spacing w:after="0"/>
            </w:pPr>
            <w:r>
              <w:t xml:space="preserve">Transfer permission</w:t>
            </w:r>
          </w:p>
        </w:tc>
        <w:tc>
          <w:tcPr>
            <w:tcW w:w="4680" w:type="dxa"/>
          </w:tcPr>
          <w:p>
            <w:pPr>
              <w:spacing w:after="0"/>
            </w:pPr>
            <w:r>
              <w:t xml:space="preserve">To be captured via the Honor link, as one required tick covering contact, storage and transfer</w:t>
            </w:r>
          </w:p>
        </w:tc>
      </w:tr>
      <w:tr>
        <w:tc>
          <w:tcPr>
            <w:tcW w:w="4680" w:type="dxa"/>
          </w:tcPr>
          <w:p>
            <w:pPr>
              <w:spacing w:after="0"/>
            </w:pPr>
            <w:r>
              <w:t xml:space="preserve">Public listing as honoree</w:t>
            </w:r>
          </w:p>
        </w:tc>
        <w:tc>
          <w:tcPr>
            <w:tcW w:w="4680" w:type="dxa"/>
          </w:tcPr>
          <w:p>
            <w:pPr>
              <w:spacing w:after="0"/>
            </w:pPr>
            <w:r>
              <w:t xml:space="preserve">Separate optional tick, her choice</w:t>
            </w:r>
          </w:p>
        </w:tc>
      </w:tr>
      <w:tr>
        <w:tc>
          <w:tcPr>
            <w:tcW w:w="4680" w:type="dxa"/>
          </w:tcPr>
          <w:p>
            <w:pPr>
              <w:spacing w:after="0"/>
            </w:pPr>
            <w:r>
              <w:t xml:space="preserve">Honor certificate</w:t>
            </w:r>
          </w:p>
        </w:tc>
        <w:tc>
          <w:tcPr>
            <w:tcW w:w="4680" w:type="dxa"/>
          </w:tcPr>
          <w:p>
            <w:pPr>
              <w:spacing w:after="0"/>
            </w:pPr>
            <w:r>
              <w:t xml:space="preserve">To be issued after she accepts, in the name and title she confirms</w:t>
            </w:r>
          </w:p>
        </w:tc>
      </w:tr>
    </w:tbl>
    <w:p>
      <w:pPr/>
      <w:r>
        <w:t/>
      </w:r>
    </w:p>
    <w:p>
      <w:pPr>
        <w:pStyle w:val="Heading2"/>
        <w:spacing w:after="140"/>
      </w:pPr>
      <w:r>
        <w:t xml:space="preserve">8a. Affiliation policy, set by her on 2026-08-09</w:t>
      </w:r>
    </w:p>
    <w:p>
      <w:pPr>
        <w:spacing w:after="140"/>
      </w:pPr>
      <w:r>
        <w:t xml:space="preserve">She asked that her HPD title and agency be removed from the certificate, from any public-facing recognition, from the manuscript author line, and from both Council notes. The work was voluntary, done in her personal capacity, on public materials.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Artifact</w:t>
            </w:r>
          </w:p>
        </w:tc>
        <w:tc>
          <w:tcPr>
            <w:tcW w:w="4680" w:type="dxa"/>
          </w:tcPr>
          <w:p>
            <w:pPr>
              <w:spacing w:after="0"/>
            </w:pPr>
            <w:r>
              <w:t xml:space="preserve">How she is named</w:t>
            </w:r>
          </w:p>
        </w:tc>
      </w:tr>
      <w:tr>
        <w:tc>
          <w:tcPr>
            <w:tcW w:w="4680" w:type="dxa"/>
          </w:tcPr>
          <w:p>
            <w:pPr>
              <w:spacing w:after="0"/>
            </w:pPr>
            <w:r>
              <w:t xml:space="preserve">Honor certificate</w:t>
            </w:r>
          </w:p>
        </w:tc>
        <w:tc>
          <w:tcPr>
            <w:tcW w:w="4680" w:type="dxa"/>
          </w:tcPr>
          <w:p>
            <w:pPr>
              <w:spacing w:after="0"/>
            </w:pPr>
            <w:r>
              <w:t xml:space="preserve">Stacyann Young, no title line, no employer</w:t>
            </w:r>
          </w:p>
        </w:tc>
      </w:tr>
      <w:tr>
        <w:tc>
          <w:tcPr>
            <w:tcW w:w="4680" w:type="dxa"/>
          </w:tcPr>
          <w:p>
            <w:pPr>
              <w:spacing w:after="0"/>
            </w:pPr>
            <w:r>
              <w:rPr>
                <w:rFonts w:ascii="Consolas" w:hAnsi="Consolas"/>
              </w:rPr>
              <w:t xml:space="preserve">api/honor.js</w:t>
            </w:r>
          </w:p>
        </w:tc>
        <w:tc>
          <w:tcPr>
            <w:tcW w:w="4680" w:type="dxa"/>
          </w:tcPr>
          <w:p>
            <w:pPr>
              <w:spacing w:after="0"/>
            </w:pPr>
            <w:r>
              <w:t xml:space="preserve">title and org fields empty, with a comment saying not to repopulate them</w:t>
            </w:r>
          </w:p>
        </w:tc>
      </w:tr>
      <w:tr>
        <w:tc>
          <w:tcPr>
            <w:tcW w:w="4680" w:type="dxa"/>
          </w:tcPr>
          <w:p>
            <w:pPr>
              <w:spacing w:after="0"/>
            </w:pPr>
            <w:r>
              <w:t xml:space="preserve">Manuscript</w:t>
            </w:r>
          </w:p>
        </w:tc>
        <w:tc>
          <w:tcPr>
            <w:tcW w:w="4680" w:type="dxa"/>
          </w:tcPr>
          <w:p>
            <w:pPr>
              <w:spacing w:after="0"/>
            </w:pPr>
            <w:r>
              <w:t xml:space="preserve">Stacyann Young, Independent Researcher, with the reason stated in the disclosure</w:t>
            </w:r>
          </w:p>
        </w:tc>
      </w:tr>
      <w:tr>
        <w:tc>
          <w:tcPr>
            <w:tcW w:w="4680" w:type="dxa"/>
          </w:tcPr>
          <w:p>
            <w:pPr>
              <w:spacing w:after="0"/>
            </w:pPr>
            <w:r>
              <w:t xml:space="preserve">Council letters</w:t>
            </w:r>
          </w:p>
        </w:tc>
        <w:tc>
          <w:tcPr>
            <w:tcW w:w="4680" w:type="dxa"/>
          </w:tcPr>
          <w:p>
            <w:pPr>
              <w:spacing w:after="0"/>
            </w:pPr>
            <w:r>
              <w:t xml:space="preserve">her background paragraph in place of a title; signed Independent Researcher</w:t>
            </w:r>
          </w:p>
        </w:tc>
      </w:tr>
      <w:tr>
        <w:tc>
          <w:tcPr>
            <w:tcW w:w="4680" w:type="dxa"/>
          </w:tcPr>
          <w:p>
            <w:pPr>
              <w:spacing w:after="0"/>
            </w:pPr>
            <w:r>
              <w:rPr>
                <w:rFonts w:ascii="Consolas" w:hAnsi="Consolas"/>
              </w:rPr>
              <w:t xml:space="preserve">api/contributor.js</w:t>
            </w:r>
          </w:p>
        </w:tc>
        <w:tc>
          <w:tcPr>
            <w:tcW w:w="4680" w:type="dxa"/>
          </w:tcPr>
          <w:p>
            <w:pPr>
              <w:spacing w:after="0"/>
            </w:pPr>
            <w:r>
              <w:t xml:space="preserve">Stacyann Young, title "Public records and FOIL practice", no org</w:t>
            </w:r>
          </w:p>
        </w:tc>
      </w:tr>
    </w:tbl>
    <w:p>
      <w:pPr/>
      <w:r>
        <w:t/>
      </w:r>
    </w:p>
    <w:p>
      <w:pPr>
        <w:spacing w:after="140"/>
      </w:pPr>
      <w:r>
        <w:t xml:space="preserve">Nothing in the programme should reintroduce her employer. The study record still holds it, which is why the roster carries a comment.</w:t>
      </w:r>
    </w:p>
    <w:p>
      <w:pPr>
        <w:pStyle w:val="Heading2"/>
        <w:spacing w:after="140"/>
      </w:pPr>
      <w:r>
        <w:t xml:space="preserve">9. Open items</w:t>
      </w:r>
    </w:p>
    <w:p>
      <w:pPr>
        <w:spacing w:after="140"/>
      </w:pPr>
      <w:r>
        <w:t xml:space="preserve">Her 2026-08-08 reply set three explicit conditions, and each one now has a gate rather than a promise.</w:t>
      </w:r>
    </w:p>
    <w:p>
      <w:pPr>
        <w:numPr>
          <w:ilvl w:val="0"/>
          <w:numId w:val="2"/>
        </w:numPr>
        <w:spacing w:after="60"/>
      </w:pPr>
      <w:r>
        <w:rPr>
          <w:b/>
        </w:rPr>
        <w:t xml:space="preserve">Send the reply and the review pack.</w:t>
      </w:r>
      <w:r>
        <w:t xml:space="preserve"> Drafted at </w:t>
      </w:r>
      <w:r>
        <w:rPr>
          <w:rFonts w:ascii="Consolas" w:hAnsi="Consolas"/>
        </w:rPr>
        <w:t xml:space="preserve">research/Message_Stacy_Young_Reply_2026-08-08b.md</w:t>
      </w:r>
      <w:r>
        <w:t xml:space="preserve">, not sent. Attachments: manuscript, both Council drafts, the honor disclosure pack, the draft certificate.</w:t>
      </w:r>
    </w:p>
    <w:p>
      <w:pPr>
        <w:numPr>
          <w:ilvl w:val="0"/>
          <w:numId w:val="2"/>
        </w:numPr>
        <w:spacing w:after="60"/>
      </w:pPr>
      <w:r>
        <w:rPr>
          <w:b/>
        </w:rPr>
        <w:t xml:space="preserve">Hold both Council notes until she approves them.</w:t>
      </w:r>
      <w:r>
        <w:t xml:space="preserve"> She asked to review them and specifically to rewrite her own biography paragraph rather than correct it.</w:t>
      </w:r>
    </w:p>
    <w:p>
      <w:pPr>
        <w:numPr>
          <w:ilvl w:val="0"/>
          <w:numId w:val="2"/>
        </w:numPr>
        <w:spacing w:after="60"/>
      </w:pPr>
      <w:r>
        <w:rPr>
          <w:b/>
        </w:rPr>
        <w:t xml:space="preserve">Hold the Honor until she approves the citation.</w:t>
      </w:r>
      <w:r>
        <w:t xml:space="preserve"> The acceptance link stays live and she uses it when ready. Certificate is issued only after she accepts, in the name and title she confirms.</w:t>
      </w:r>
    </w:p>
    <w:p>
      <w:pPr>
        <w:numPr>
          <w:ilvl w:val="0"/>
          <w:numId w:val="2"/>
        </w:numPr>
        <w:spacing w:after="60"/>
      </w:pPr>
      <w:r>
        <w:rPr>
          <w:b/>
        </w:rPr>
        <w:t xml:space="preserve">Hold submission until she confirms Sections 4 and 5.</w:t>
      </w:r>
      <w:r>
        <w:t xml:space="preserve"> One figure flagged for her memory rather than the data pull: 28 of 32 cases carrying a written basis note, which is what Section 5.3 rests on.</w:t>
      </w:r>
    </w:p>
    <w:p>
      <w:pPr>
        <w:numPr>
          <w:ilvl w:val="0"/>
          <w:numId w:val="2"/>
        </w:numPr>
        <w:spacing w:after="60"/>
      </w:pPr>
      <w:r>
        <w:rPr>
          <w:b/>
        </w:rPr>
        <w:t xml:space="preserve">Blind re-read: she agreed, the packet is built, waiting on a name.</w:t>
      </w:r>
      <w:r>
        <w:t xml:space="preserve"> Ten of her 32 cases, six Ready, three Needs work, one Gap, stratified and reproducible. Send </w:t>
      </w:r>
      <w:r>
        <w:rPr>
          <w:rFonts w:ascii="Consolas" w:hAnsi="Consolas"/>
        </w:rPr>
        <w:t xml:space="preserve">Blind_Recheck_Packet_E08</w:t>
      </w:r>
      <w:r>
        <w:t xml:space="preserve"> to the reader she names, never to her. Never send </w:t>
      </w:r>
      <w:r>
        <w:rPr>
          <w:rFonts w:ascii="Consolas" w:hAnsi="Consolas"/>
        </w:rPr>
        <w:t xml:space="preserve">Blind_Recheck_KEY_E08.md</w:t>
      </w:r>
      <w:r>
        <w:t xml:space="preserve">.</w:t>
      </w:r>
    </w:p>
    <w:p>
      <w:pPr>
        <w:numPr>
          <w:ilvl w:val="0"/>
          <w:numId w:val="2"/>
        </w:numPr>
        <w:spacing w:after="60"/>
      </w:pPr>
      <w:r>
        <w:rPr>
          <w:b/>
        </w:rPr>
        <w:t xml:space="preserve">Obtain the quote.</w:t>
      </w:r>
      <w:r>
        <w:t xml:space="preserve"> Optional for her, needed for coverage and the data room, and nobody else can supply it. Asked on the acceptance page with a separate attribution tick.</w:t>
      </w:r>
    </w:p>
    <w:p>
      <w:pPr>
        <w:numPr>
          <w:ilvl w:val="0"/>
          <w:numId w:val="2"/>
        </w:numPr>
        <w:spacing w:after="60"/>
      </w:pPr>
      <w:r>
        <w:rPr>
          <w:rFonts w:ascii="Consolas" w:hAnsi="Consolas"/>
        </w:rPr>
        <w:t xml:space="preserve">api/honor.js</w:t>
      </w:r>
      <w:r>
        <w:t xml:space="preserve"> and </w:t>
      </w:r>
      <w:r>
        <w:rPr>
          <w:rFonts w:ascii="Consolas" w:hAnsi="Consolas"/>
        </w:rPr>
        <w:t xml:space="preserve">honor.html</w:t>
      </w:r>
      <w:r>
        <w:t xml:space="preserve"> are deployed and verified live. Her key returns her citation; an unknown key returns 404 with nothing about anyone.</w:t>
      </w:r>
    </w:p>
    <w:p>
      <w:pPr>
        <w:spacing w:after="140"/>
      </w:pPr>
      <w:r>
        <w:t xml:space="preserve">Approval is required separately for the manuscript, the Council notes, and the Honor. Approving one is not approving the others.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