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41414"/>
          <w:sz w:val="34"/>
          <w:szCs w:val="34"/>
        </w:rPr>
        <w:t xml:space="preserve">The Evidentiary Deficit in AI-Assisted Record-Keeping</w:t>
      </w:r>
    </w:p>
    <w:p>
      <w:pPr>
        <w:spacing w:after="100"/>
      </w:pPr>
      <w:r>
        <w:rPr>
          <w:rFonts w:ascii="Georgia" w:cs="Georgia" w:eastAsia="Georgia" w:hAnsi="Georgia"/>
          <w:i/>
          <w:iCs/>
          <w:color w:val="555555"/>
          <w:sz w:val="22"/>
          <w:szCs w:val="22"/>
        </w:rPr>
        <w:t xml:space="preserve">Why records that cannot explain themselves have become a legal and ethical liability on both sides of the Atlantic, and what accountable documentation now requires.</w:t>
      </w:r>
    </w:p>
    <w:p>
      <w:pPr>
        <w:spacing w:after="30"/>
      </w:pPr>
      <w:r>
        <w:rPr>
          <w:rFonts w:ascii="Georgia" w:cs="Georgia" w:eastAsia="Georgia" w:hAnsi="Georgia"/>
          <w:b/>
          <w:bCs/>
          <w:color w:val="141414"/>
          <w:sz w:val="26"/>
          <w:szCs w:val="26"/>
        </w:rPr>
        <w:t xml:space="preserve">By Gabriela Bar and Phillip Wikes</w:t>
      </w:r>
    </w:p>
    <w:p>
      <w:pPr>
        <w:pBdr>
          <w:bottom w:val="single" w:color="7A5E28" w:sz="6" w:space="8"/>
        </w:pBdr>
        <w:spacing w:after="130"/>
      </w:pPr>
      <w:r>
        <w:rPr>
          <w:rFonts w:ascii="Georgia" w:cs="Georgia" w:eastAsia="Georgia" w:hAnsi="Georgia"/>
          <w:i/>
          <w:iCs/>
          <w:color w:val="555555"/>
          <w:sz w:val="18"/>
          <w:szCs w:val="18"/>
        </w:rPr>
        <w:t xml:space="preserve">Gabriela Bar, PhD, Attorney at Law, founder of Gabriela Bar Law and AI (Wroclaw), advising on trustworthy AI and data-protection law.  Phillip Wikes, AI Governance and Cognitive Risk Advisor, former Lead Civil Rights Officer, Maryland Commission on Civil Rights.</w:t>
      </w:r>
    </w:p>
    <w:p>
      <w:pPr>
        <w:pStyle w:val="Heading2"/>
        <w:spacing w:after="90" w:before="220"/>
      </w:pPr>
      <w:r>
        <w:rPr>
          <w:rFonts w:ascii="Georgia" w:cs="Georgia" w:eastAsia="Georgia" w:hAnsi="Georgia"/>
          <w:b/>
          <w:bCs/>
          <w:color w:val="141414"/>
          <w:sz w:val="24"/>
          <w:szCs w:val="24"/>
        </w:rPr>
        <w:t xml:space="preserve">I. Introduction</w:t>
      </w:r>
    </w:p>
    <w:p>
      <w:pPr>
        <w:spacing w:after="130"/>
        <w:jc w:val="both"/>
      </w:pPr>
      <w:r>
        <w:rPr>
          <w:rFonts w:ascii="Georgia" w:cs="Georgia" w:eastAsia="Georgia" w:hAnsi="Georgia"/>
          <w:color w:val="1a1a1a"/>
          <w:sz w:val="21"/>
          <w:szCs w:val="21"/>
        </w:rPr>
        <w:t xml:space="preserve">A record is a kind of promise. It tells whoever reads it later, a regulator, a court, a colleague, the person whose life it describes, that a decision was made for reasons that can be examined. When artificial intelligence drafts the record, that promise is easy to break without anyone noticing. The text looks complete. The reasoning behind it may already be gone.</w:t>
      </w:r>
    </w:p>
    <w:p>
      <w:pPr>
        <w:spacing w:after="130"/>
        <w:jc w:val="both"/>
      </w:pPr>
      <w:r>
        <w:rPr>
          <w:rFonts w:ascii="Georgia" w:cs="Georgia" w:eastAsia="Georgia" w:hAnsi="Georgia"/>
          <w:color w:val="1a1a1a"/>
          <w:sz w:val="21"/>
          <w:szCs w:val="21"/>
        </w:rPr>
        <w:t xml:space="preserve">This failure has a name we use throughout: </w:t>
      </w:r>
      <w:r>
        <w:rPr>
          <w:rFonts w:ascii="Georgia" w:cs="Georgia" w:eastAsia="Georgia" w:hAnsi="Georgia"/>
          <w:b/>
          <w:bCs/>
          <w:color w:val="1a1a1a"/>
          <w:sz w:val="21"/>
          <w:szCs w:val="21"/>
        </w:rPr>
        <w:t xml:space="preserve">Decision Reconstruction Risk (DRR)</w:t>
      </w:r>
      <w:r>
        <w:rPr>
          <w:rFonts w:ascii="Georgia" w:cs="Georgia" w:eastAsia="Georgia" w:hAnsi="Georgia"/>
          <w:color w:val="1a1a1a"/>
          <w:sz w:val="21"/>
          <w:szCs w:val="21"/>
        </w:rPr>
        <w:t xml:space="preserve">, the condition in which a record cannot independently explain why a consequential decision was made. It is not a technology problem in the usual sense. It is an accountability problem, and accountability is where law, ethics, and trust meet.</w:t>
      </w:r>
    </w:p>
    <w:p>
      <w:pPr>
        <w:spacing w:after="130"/>
        <w:jc w:val="both"/>
      </w:pPr>
      <w:r>
        <w:rPr>
          <w:rFonts w:ascii="Georgia" w:cs="Georgia" w:eastAsia="Georgia" w:hAnsi="Georgia"/>
          <w:color w:val="1a1a1a"/>
          <w:sz w:val="21"/>
          <w:szCs w:val="21"/>
        </w:rPr>
        <w:t xml:space="preserve">One of us spent more than a decade reading such records after the fact, for a civil rights agency, and saw the same pattern repeat: the decision was often sound, and the record could not show why. The other has spent a career helping organizations build governance that anticipates regulation rather than reacting to it. From both vantage points the conclusion is the same. As AI drafts more of the documents behind consequential decisions, the evidence that would let anyone reconstruct those decisions is quietly disappearing.</w:t>
      </w:r>
    </w:p>
    <w:p>
      <w:pPr>
        <w:spacing w:after="130"/>
        <w:jc w:val="both"/>
      </w:pPr>
      <w:r>
        <w:rPr>
          <w:rFonts w:ascii="Georgia" w:cs="Georgia" w:eastAsia="Georgia" w:hAnsi="Georgia"/>
          <w:color w:val="1a1a1a"/>
          <w:sz w:val="21"/>
          <w:szCs w:val="21"/>
        </w:rPr>
        <w:t xml:space="preserve">We write from both European and United States perspectives, because the exposure is now transatlantic. In Europe, the accountability principle at the heart of the GDPR and the record-keeping expectations of the EU AI Act ask organizations to show, not merely assert, how a decision was reached. In the United States, the same gap surfaces in discovery and in the burden-shifting tests that decide employment and housing disputes. The legal vocabulary differs. The underlying demand is the same: a record must be able to answer for itself.</w:t>
      </w:r>
    </w:p>
    <w:p>
      <w:pPr>
        <w:spacing w:after="130"/>
        <w:jc w:val="both"/>
      </w:pPr>
      <w:r>
        <w:rPr>
          <w:rFonts w:ascii="Georgia" w:cs="Georgia" w:eastAsia="Georgia" w:hAnsi="Georgia"/>
          <w:color w:val="1a1a1a"/>
          <w:sz w:val="21"/>
          <w:szCs w:val="21"/>
        </w:rPr>
        <w:t xml:space="preserve">AI-assisted documentation should be treated as presumptively reviewable, whether by a regulator, an auditor, or a court. The most practical moment to meet that standard is before the record is finalized.</w:t>
      </w:r>
    </w:p>
    <w:p>
      <w:pPr>
        <w:pStyle w:val="Heading2"/>
        <w:spacing w:after="90" w:before="220"/>
      </w:pPr>
      <w:r>
        <w:rPr>
          <w:rFonts w:ascii="Georgia" w:cs="Georgia" w:eastAsia="Georgia" w:hAnsi="Georgia"/>
          <w:b/>
          <w:bCs/>
          <w:color w:val="141414"/>
          <w:sz w:val="24"/>
          <w:szCs w:val="24"/>
        </w:rPr>
        <w:t xml:space="preserve">II. Documentation as Legal Evidence</w:t>
      </w:r>
    </w:p>
    <w:p>
      <w:pPr>
        <w:spacing w:after="130"/>
        <w:jc w:val="both"/>
      </w:pPr>
      <w:r>
        <w:rPr>
          <w:rFonts w:ascii="Georgia" w:cs="Georgia" w:eastAsia="Georgia" w:hAnsi="Georgia"/>
          <w:color w:val="1a1a1a"/>
          <w:sz w:val="21"/>
          <w:szCs w:val="21"/>
        </w:rPr>
        <w:t xml:space="preserve">In employment, housing, and administrative adjudication, the written record is the first place a dispute is tested. Performance evaluations, tenancy files, and investigative notes are evaluated under statutes such as Title VII, the Age Discrimination in Employment Act, the Americans with Disabilities Act, and the Fair Housing Act.</w:t>
      </w:r>
    </w:p>
    <w:p>
      <w:pPr>
        <w:spacing w:after="130"/>
        <w:jc w:val="both"/>
      </w:pPr>
      <w:r>
        <w:rPr>
          <w:rFonts w:ascii="Georgia" w:cs="Georgia" w:eastAsia="Georgia" w:hAnsi="Georgia"/>
          <w:color w:val="1a1a1a"/>
          <w:sz w:val="21"/>
          <w:szCs w:val="21"/>
        </w:rPr>
        <w:t xml:space="preserve">The burden-shifting analysis in </w:t>
      </w:r>
      <w:r>
        <w:rPr>
          <w:rFonts w:ascii="Georgia" w:cs="Georgia" w:eastAsia="Georgia" w:hAnsi="Georgia"/>
          <w:i/>
          <w:iCs/>
          <w:color w:val="1a1a1a"/>
          <w:sz w:val="21"/>
          <w:szCs w:val="21"/>
        </w:rPr>
        <w:t xml:space="preserve">McDonnell Douglas Corp. v. Green</w:t>
      </w:r>
      <w:r>
        <w:rPr>
          <w:rFonts w:ascii="Georgia" w:cs="Georgia" w:eastAsia="Georgia" w:hAnsi="Georgia"/>
          <w:color w:val="1a1a1a"/>
          <w:sz w:val="21"/>
          <w:szCs w:val="21"/>
        </w:rPr>
        <w:t xml:space="preserve"> illustrates the stakes: the sufficiency of the documented rationale often determines whether a stated reason will be treated as legitimate or as pretext. Administrative law similarly applies a reasoned decision-making standard, under which the quality of the record often determines whether the underlying decision survives review at all.</w:t>
      </w:r>
    </w:p>
    <w:p>
      <w:pPr>
        <w:spacing w:after="130"/>
        <w:jc w:val="both"/>
      </w:pPr>
      <w:r>
        <w:rPr>
          <w:rFonts w:ascii="Georgia" w:cs="Georgia" w:eastAsia="Georgia" w:hAnsi="Georgia"/>
          <w:color w:val="1a1a1a"/>
          <w:sz w:val="21"/>
          <w:szCs w:val="21"/>
        </w:rPr>
        <w:t xml:space="preserve">A legally defensible record must do more than state a conclusion. It has to show the factual basis behind that conclusion. When the documentation cannot substantiate the reasoning it claims to reflect, the organization loses the very evidence it needs to defend the decision.</w:t>
      </w:r>
    </w:p>
    <w:p>
      <w:pPr>
        <w:pStyle w:val="Heading2"/>
        <w:spacing w:after="90" w:before="220"/>
      </w:pPr>
      <w:r>
        <w:rPr>
          <w:rFonts w:ascii="Georgia" w:cs="Georgia" w:eastAsia="Georgia" w:hAnsi="Georgia"/>
          <w:b/>
          <w:bCs/>
          <w:color w:val="141414"/>
          <w:sz w:val="24"/>
          <w:szCs w:val="24"/>
        </w:rPr>
        <w:t xml:space="preserve">III. How AI-Assisted Records Fail in Practice</w:t>
      </w:r>
    </w:p>
    <w:p>
      <w:pPr>
        <w:spacing w:after="130"/>
        <w:jc w:val="both"/>
      </w:pPr>
      <w:r>
        <w:rPr>
          <w:rFonts w:ascii="Georgia" w:cs="Georgia" w:eastAsia="Georgia" w:hAnsi="Georgia"/>
          <w:color w:val="1a1a1a"/>
          <w:sz w:val="21"/>
          <w:szCs w:val="21"/>
        </w:rPr>
        <w:t xml:space="preserve">AI tools generate fluent narrative, but they often lose the link between the narrative and the underlying facts. Three failure modes recur in practice. First, unsupported narrative: conclusions appear with confident framing, even when the input contained only fragmentary facts. Second, missing source linkage: the finished record is no longer traceable to the logs, notes, or communications that would anchor it. Third, weak auditability: the drafting history, reviewer identity, and prompts used to produce the text are not preserved.</w:t>
      </w:r>
    </w:p>
    <w:p>
      <w:pPr>
        <w:spacing w:after="130"/>
        <w:jc w:val="both"/>
      </w:pPr>
      <w:r>
        <w:rPr>
          <w:rFonts w:ascii="Georgia" w:cs="Georgia" w:eastAsia="Georgia" w:hAnsi="Georgia"/>
          <w:color w:val="1a1a1a"/>
          <w:sz w:val="21"/>
          <w:szCs w:val="21"/>
        </w:rPr>
        <w:t xml:space="preserve">When the same tool generates both the narrative and its supporting justification, the record becomes self-referential and can be functionally indistinguishable from post hoc rationalization. Consider a manager who prompts the model to draft a termination justification, then prompts the same model to supply the supporting facts. The resulting file is internally consistent, and it cannot be tied to independent evidence. In discovery, unsupported assertions are treated as post hoc rationalization, particularly where the drafting record shows AI-generated narrative introduced after the underlying decision was already made.</w:t>
      </w:r>
    </w:p>
    <w:p>
      <w:pPr>
        <w:spacing w:after="130"/>
        <w:jc w:val="both"/>
      </w:pPr>
      <w:r>
        <w:rPr>
          <w:rFonts w:ascii="Georgia" w:cs="Georgia" w:eastAsia="Georgia" w:hAnsi="Georgia"/>
          <w:color w:val="1a1a1a"/>
          <w:sz w:val="21"/>
          <w:szCs w:val="21"/>
        </w:rPr>
        <w:t xml:space="preserve">A defensible record requires that every material assertion can be traced to contemporaneous evidence.</w:t>
      </w:r>
    </w:p>
    <w:p>
      <w:pPr>
        <w:pStyle w:val="Heading2"/>
        <w:spacing w:after="90" w:before="220"/>
      </w:pPr>
      <w:r>
        <w:rPr>
          <w:rFonts w:ascii="Georgia" w:cs="Georgia" w:eastAsia="Georgia" w:hAnsi="Georgia"/>
          <w:b/>
          <w:bCs/>
          <w:color w:val="141414"/>
          <w:sz w:val="24"/>
          <w:szCs w:val="24"/>
        </w:rPr>
        <w:t xml:space="preserve">IV. Pattern Risk and Proxy Language</w:t>
      </w:r>
    </w:p>
    <w:p>
      <w:pPr>
        <w:spacing w:after="130"/>
        <w:jc w:val="both"/>
      </w:pPr>
      <w:r>
        <w:rPr>
          <w:rFonts w:ascii="Georgia" w:cs="Georgia" w:eastAsia="Georgia" w:hAnsi="Georgia"/>
          <w:color w:val="1a1a1a"/>
          <w:sz w:val="21"/>
          <w:szCs w:val="21"/>
        </w:rPr>
        <w:t xml:space="preserve">AI tools reproduce language patterns at scale. Pattern risk emerges when subjective descriptors such as “cultural fit,” “struggles with change,” or “attitude” recur across individuals sharing protected characteristics. What looks like a stylistic quirk in one file can, in aggregate, support an inference of systemic bias. Aggregate uniformity that would once have taken years of individual drafting to produce can now emerge within a single quarter of AI-assisted writing. Because the risk lives in the aggregate, it can pass every individual review and become visible only when records are examined together. Courts have recognized that patterns across records may be used to establish systemic discrimination or discriminatory intent under both disparate treatment and disparate impact analysis.</w:t>
      </w:r>
    </w:p>
    <w:p>
      <w:pPr>
        <w:pStyle w:val="Heading2"/>
        <w:spacing w:after="90" w:before="220"/>
      </w:pPr>
      <w:r>
        <w:rPr>
          <w:rFonts w:ascii="Georgia" w:cs="Georgia" w:eastAsia="Georgia" w:hAnsi="Georgia"/>
          <w:b/>
          <w:bCs/>
          <w:color w:val="141414"/>
          <w:sz w:val="24"/>
          <w:szCs w:val="24"/>
        </w:rPr>
        <w:t xml:space="preserve">V. Data Protection and the European Frame</w:t>
      </w:r>
    </w:p>
    <w:p>
      <w:pPr>
        <w:spacing w:after="130"/>
        <w:jc w:val="both"/>
      </w:pPr>
      <w:r>
        <w:rPr>
          <w:rFonts w:ascii="Georgia" w:cs="Georgia" w:eastAsia="Georgia" w:hAnsi="Georgia"/>
          <w:color w:val="1a1a1a"/>
          <w:sz w:val="21"/>
          <w:szCs w:val="21"/>
        </w:rPr>
        <w:t xml:space="preserve">Public AI tools introduce two related risks. The first is a data processing risk: entering sensitive information into an external interface may not satisfy the lawful basis for processing under the GDPR and similar frameworks, and may conflict with data minimization obligations. The second is a documentation integrity risk: where drafting occurs outside approved systems, organizations may be unable to produce metadata identifying the tool used, the inputs entered, or the timing of the drafting itself. Both risks converge on the same practical point: without visibility into what tool was used, what data was entered, and what came back, the organization cannot defend the provenance of the record.</w:t>
      </w:r>
    </w:p>
    <w:p>
      <w:pPr>
        <w:spacing w:after="130"/>
        <w:jc w:val="both"/>
      </w:pPr>
      <w:r>
        <w:rPr>
          <w:rFonts w:ascii="Georgia" w:cs="Georgia" w:eastAsia="Georgia" w:hAnsi="Georgia"/>
          <w:color w:val="1a1a1a"/>
          <w:sz w:val="21"/>
          <w:szCs w:val="21"/>
        </w:rPr>
        <w:t xml:space="preserve">In the European Union, the same gap intersects two regimes at once. Under the GDPR, the accountability principle expects an organization to demonstrate how personal data was processed; a record whose provenance cannot be shown is difficult to reconcile with that duty and with records-of-processing obligations. Under the EU AI Act, high-risk uses carry record-keeping, logging, and technical-documentation expectations intended to make automated and AI-assisted processing auditable after the fact. An organization that cannot reconstruct how an AI-assisted record was produced faces exposure on both fronts at once. </w:t>
      </w:r>
      <w:r>
        <w:rPr>
          <w:rFonts w:ascii="Georgia" w:cs="Georgia" w:eastAsia="Georgia" w:hAnsi="Georgia"/>
          <w:i/>
          <w:iCs/>
          <w:color w:val="7A5E28"/>
          <w:sz w:val="21"/>
          <w:szCs w:val="21"/>
        </w:rPr>
        <w:t xml:space="preserve">The precise contours of these European obligations, and how they map onto records generated with general-purpose AI tools, are developed in the analysis that anchors this article.</w:t>
      </w:r>
    </w:p>
    <w:p>
      <w:pPr>
        <w:pStyle w:val="Heading2"/>
        <w:spacing w:after="90" w:before="220"/>
      </w:pPr>
      <w:r>
        <w:rPr>
          <w:rFonts w:ascii="Georgia" w:cs="Georgia" w:eastAsia="Georgia" w:hAnsi="Georgia"/>
          <w:b/>
          <w:bCs/>
          <w:color w:val="141414"/>
          <w:sz w:val="24"/>
          <w:szCs w:val="24"/>
        </w:rPr>
        <w:t xml:space="preserve">VI. Oversight and Review</w:t>
      </w:r>
    </w:p>
    <w:p>
      <w:pPr>
        <w:spacing w:after="130"/>
        <w:jc w:val="both"/>
      </w:pPr>
      <w:r>
        <w:rPr>
          <w:rFonts w:ascii="Georgia" w:cs="Georgia" w:eastAsia="Georgia" w:hAnsi="Georgia"/>
          <w:color w:val="1a1a1a"/>
          <w:sz w:val="21"/>
          <w:szCs w:val="21"/>
        </w:rPr>
        <w:t xml:space="preserve">A defensible record should be able to answer three questions on its face. </w:t>
      </w:r>
      <w:r>
        <w:rPr>
          <w:rFonts w:ascii="Georgia" w:cs="Georgia" w:eastAsia="Georgia" w:hAnsi="Georgia"/>
          <w:b/>
          <w:bCs/>
          <w:color w:val="1a1a1a"/>
          <w:sz w:val="21"/>
          <w:szCs w:val="21"/>
        </w:rPr>
        <w:t xml:space="preserve">Can the record be understood independently of its author? Are its conclusions supported by verifiable, non-AI-generated evidence? Can a neutral reviewer reconstruct the reasoning without additional explanation?</w:t>
      </w:r>
      <w:r>
        <w:rPr>
          <w:rFonts w:ascii="Georgia" w:cs="Georgia" w:eastAsia="Georgia" w:hAnsi="Georgia"/>
          <w:color w:val="1a1a1a"/>
          <w:sz w:val="21"/>
          <w:szCs w:val="21"/>
        </w:rPr>
        <w:t xml:space="preserve"> If any of these questions cannot be answered, the record is incomplete, regardless of how polished it reads. These questions operationalize Decision Reconstruction Risk: a record that cannot answer them carries DRR into every proceeding that later relies on it. Periodic sampling across authors and business units helps surface drift before it becomes a pattern.</w:t>
      </w:r>
    </w:p>
    <w:p>
      <w:pPr>
        <w:pStyle w:val="Heading2"/>
        <w:spacing w:after="90" w:before="220"/>
      </w:pPr>
      <w:r>
        <w:rPr>
          <w:rFonts w:ascii="Georgia" w:cs="Georgia" w:eastAsia="Georgia" w:hAnsi="Georgia"/>
          <w:b/>
          <w:bCs/>
          <w:color w:val="141414"/>
          <w:sz w:val="24"/>
          <w:szCs w:val="24"/>
        </w:rPr>
        <w:t xml:space="preserve">VII. Litigation and Regulatory Exposure</w:t>
      </w:r>
    </w:p>
    <w:p>
      <w:pPr>
        <w:spacing w:after="130"/>
        <w:jc w:val="both"/>
      </w:pPr>
      <w:r>
        <w:rPr>
          <w:rFonts w:ascii="Georgia" w:cs="Georgia" w:eastAsia="Georgia" w:hAnsi="Georgia"/>
          <w:color w:val="1a1a1a"/>
          <w:sz w:val="21"/>
          <w:szCs w:val="21"/>
        </w:rPr>
        <w:t xml:space="preserve">Opposing counsel argue two things. First, that fluent AI-generated narrative was produced to justify a decision already made. Second, that the absence of drafting history or reviewer notes confirms the absence of genuine deliberation. Both arguments land harder when the organization cannot produce the underlying material.</w:t>
      </w:r>
    </w:p>
    <w:p>
      <w:pPr>
        <w:spacing w:after="130"/>
        <w:jc w:val="both"/>
      </w:pPr>
      <w:r>
        <w:rPr>
          <w:rFonts w:ascii="Georgia" w:cs="Georgia" w:eastAsia="Georgia" w:hAnsi="Georgia"/>
          <w:color w:val="1a1a1a"/>
          <w:sz w:val="21"/>
          <w:szCs w:val="21"/>
        </w:rPr>
        <w:t xml:space="preserve">Expect discovery requests aimed at the drafting layer itself, including prompt logs, draft versions, tool-usage records, and reviewer activity. ESI obligations now routinely include such material. Regulators tend to arrive at an adjacent conclusion: uniform language across files can be read as evidence of a process rather than of individualized judgment, and the absence of records-of-processing detail is treated as an independent compliance failure.</w:t>
      </w:r>
    </w:p>
    <w:p>
      <w:pPr>
        <w:pStyle w:val="Heading2"/>
        <w:spacing w:after="90" w:before="220"/>
      </w:pPr>
      <w:r>
        <w:rPr>
          <w:rFonts w:ascii="Georgia" w:cs="Georgia" w:eastAsia="Georgia" w:hAnsi="Georgia"/>
          <w:b/>
          <w:bCs/>
          <w:color w:val="141414"/>
          <w:sz w:val="24"/>
          <w:szCs w:val="24"/>
        </w:rPr>
        <w:t xml:space="preserve">VIII. Practitioner's Checklist</w:t>
      </w:r>
    </w:p>
    <w:p>
      <w:pPr>
        <w:spacing w:after="70"/>
        <w:ind w:left="360" w:hanging="280"/>
      </w:pPr>
      <w:r>
        <w:rPr>
          <w:rFonts w:ascii="Georgia" w:cs="Georgia" w:eastAsia="Georgia" w:hAnsi="Georgia"/>
          <w:b/>
          <w:bCs/>
          <w:color w:val="1a1a1a"/>
          <w:sz w:val="21"/>
          <w:szCs w:val="21"/>
        </w:rPr>
        <w:t xml:space="preserve">1.  </w:t>
      </w:r>
      <w:r>
        <w:rPr>
          <w:rFonts w:ascii="Georgia" w:cs="Georgia" w:eastAsia="Georgia" w:hAnsi="Georgia"/>
          <w:color w:val="1a1a1a"/>
          <w:sz w:val="21"/>
          <w:szCs w:val="21"/>
        </w:rPr>
        <w:t xml:space="preserve">Identify the human author and the AI tool(s) used in drafting.</w:t>
      </w:r>
    </w:p>
    <w:p>
      <w:pPr>
        <w:spacing w:after="70"/>
        <w:ind w:left="360" w:hanging="280"/>
      </w:pPr>
      <w:r>
        <w:rPr>
          <w:rFonts w:ascii="Georgia" w:cs="Georgia" w:eastAsia="Georgia" w:hAnsi="Georgia"/>
          <w:b/>
          <w:bCs/>
          <w:color w:val="1a1a1a"/>
          <w:sz w:val="21"/>
          <w:szCs w:val="21"/>
        </w:rPr>
        <w:t xml:space="preserve">2.  </w:t>
      </w:r>
      <w:r>
        <w:rPr>
          <w:rFonts w:ascii="Georgia" w:cs="Georgia" w:eastAsia="Georgia" w:hAnsi="Georgia"/>
          <w:color w:val="1a1a1a"/>
          <w:sz w:val="21"/>
          <w:szCs w:val="21"/>
        </w:rPr>
        <w:t xml:space="preserve">Preserve the underlying source materials, including notes, logs, and communications.</w:t>
      </w:r>
    </w:p>
    <w:p>
      <w:pPr>
        <w:spacing w:after="70"/>
        <w:ind w:left="360" w:hanging="280"/>
      </w:pPr>
      <w:r>
        <w:rPr>
          <w:rFonts w:ascii="Georgia" w:cs="Georgia" w:eastAsia="Georgia" w:hAnsi="Georgia"/>
          <w:b/>
          <w:bCs/>
          <w:color w:val="1a1a1a"/>
          <w:sz w:val="21"/>
          <w:szCs w:val="21"/>
        </w:rPr>
        <w:t xml:space="preserve">3.  </w:t>
      </w:r>
      <w:r>
        <w:rPr>
          <w:rFonts w:ascii="Georgia" w:cs="Georgia" w:eastAsia="Georgia" w:hAnsi="Georgia"/>
          <w:color w:val="1a1a1a"/>
          <w:sz w:val="21"/>
          <w:szCs w:val="21"/>
        </w:rPr>
        <w:t xml:space="preserve">Link conclusions to verifiable, non-AI-generated evidence.</w:t>
      </w:r>
    </w:p>
    <w:p>
      <w:pPr>
        <w:spacing w:after="70"/>
        <w:ind w:left="360" w:hanging="280"/>
      </w:pPr>
      <w:r>
        <w:rPr>
          <w:rFonts w:ascii="Georgia" w:cs="Georgia" w:eastAsia="Georgia" w:hAnsi="Georgia"/>
          <w:b/>
          <w:bCs/>
          <w:color w:val="1a1a1a"/>
          <w:sz w:val="21"/>
          <w:szCs w:val="21"/>
        </w:rPr>
        <w:t xml:space="preserve">4.  </w:t>
      </w:r>
      <w:r>
        <w:rPr>
          <w:rFonts w:ascii="Georgia" w:cs="Georgia" w:eastAsia="Georgia" w:hAnsi="Georgia"/>
          <w:color w:val="1a1a1a"/>
          <w:sz w:val="21"/>
          <w:szCs w:val="21"/>
        </w:rPr>
        <w:t xml:space="preserve">Document the human review step, including reviewer identity, date, and substantive changes.</w:t>
      </w:r>
    </w:p>
    <w:p>
      <w:pPr>
        <w:spacing w:after="70"/>
        <w:ind w:left="360" w:hanging="280"/>
      </w:pPr>
      <w:r>
        <w:rPr>
          <w:rFonts w:ascii="Georgia" w:cs="Georgia" w:eastAsia="Georgia" w:hAnsi="Georgia"/>
          <w:b/>
          <w:bCs/>
          <w:color w:val="1a1a1a"/>
          <w:sz w:val="21"/>
          <w:szCs w:val="21"/>
        </w:rPr>
        <w:t xml:space="preserve">5.  </w:t>
      </w:r>
      <w:r>
        <w:rPr>
          <w:rFonts w:ascii="Georgia" w:cs="Georgia" w:eastAsia="Georgia" w:hAnsi="Georgia"/>
          <w:color w:val="1a1a1a"/>
          <w:sz w:val="21"/>
          <w:szCs w:val="21"/>
        </w:rPr>
        <w:t xml:space="preserve">Prohibit the use of unapproved external AI tools for official records.</w:t>
      </w:r>
    </w:p>
    <w:p>
      <w:pPr>
        <w:spacing w:after="70"/>
        <w:ind w:left="360" w:hanging="280"/>
      </w:pPr>
      <w:r>
        <w:rPr>
          <w:rFonts w:ascii="Georgia" w:cs="Georgia" w:eastAsia="Georgia" w:hAnsi="Georgia"/>
          <w:b/>
          <w:bCs/>
          <w:color w:val="1a1a1a"/>
          <w:sz w:val="21"/>
          <w:szCs w:val="21"/>
        </w:rPr>
        <w:t xml:space="preserve">6.  </w:t>
      </w:r>
      <w:r>
        <w:rPr>
          <w:rFonts w:ascii="Georgia" w:cs="Georgia" w:eastAsia="Georgia" w:hAnsi="Georgia"/>
          <w:color w:val="1a1a1a"/>
          <w:sz w:val="21"/>
          <w:szCs w:val="21"/>
        </w:rPr>
        <w:t xml:space="preserve">Align records with the applicable data processing inventories, including GDPR Article 30 where relevant.</w:t>
      </w:r>
    </w:p>
    <w:p>
      <w:pPr>
        <w:spacing w:after="70"/>
        <w:ind w:left="360" w:hanging="280"/>
      </w:pPr>
      <w:r>
        <w:rPr>
          <w:rFonts w:ascii="Georgia" w:cs="Georgia" w:eastAsia="Georgia" w:hAnsi="Georgia"/>
          <w:b/>
          <w:bCs/>
          <w:color w:val="1a1a1a"/>
          <w:sz w:val="21"/>
          <w:szCs w:val="21"/>
        </w:rPr>
        <w:t xml:space="preserve">7.  </w:t>
      </w:r>
      <w:r>
        <w:rPr>
          <w:rFonts w:ascii="Georgia" w:cs="Georgia" w:eastAsia="Georgia" w:hAnsi="Georgia"/>
          <w:color w:val="1a1a1a"/>
          <w:sz w:val="21"/>
          <w:szCs w:val="21"/>
        </w:rPr>
        <w:t xml:space="preserve">Preserve draft history, prompts, and tool-usage records for discovery.</w:t>
      </w:r>
    </w:p>
    <w:p>
      <w:pPr>
        <w:spacing w:after="70"/>
        <w:ind w:left="360" w:hanging="280"/>
      </w:pPr>
      <w:r>
        <w:rPr>
          <w:rFonts w:ascii="Georgia" w:cs="Georgia" w:eastAsia="Georgia" w:hAnsi="Georgia"/>
          <w:b/>
          <w:bCs/>
          <w:color w:val="1a1a1a"/>
          <w:sz w:val="21"/>
          <w:szCs w:val="21"/>
        </w:rPr>
        <w:t xml:space="preserve">8.  </w:t>
      </w:r>
      <w:r>
        <w:rPr>
          <w:rFonts w:ascii="Georgia" w:cs="Georgia" w:eastAsia="Georgia" w:hAnsi="Georgia"/>
          <w:color w:val="1a1a1a"/>
          <w:sz w:val="21"/>
          <w:szCs w:val="21"/>
        </w:rPr>
        <w:t xml:space="preserve">Audit periodically for repeated subjective language across authors and business units.</w:t>
      </w:r>
    </w:p>
    <w:p>
      <w:pPr>
        <w:spacing w:after="70"/>
        <w:ind w:left="360" w:hanging="280"/>
      </w:pPr>
      <w:r>
        <w:rPr>
          <w:rFonts w:ascii="Georgia" w:cs="Georgia" w:eastAsia="Georgia" w:hAnsi="Georgia"/>
          <w:b/>
          <w:bCs/>
          <w:color w:val="1a1a1a"/>
          <w:sz w:val="21"/>
          <w:szCs w:val="21"/>
        </w:rPr>
        <w:t xml:space="preserve">9.  </w:t>
      </w:r>
      <w:r>
        <w:rPr>
          <w:rFonts w:ascii="Georgia" w:cs="Georgia" w:eastAsia="Georgia" w:hAnsi="Georgia"/>
          <w:color w:val="1a1a1a"/>
          <w:sz w:val="21"/>
          <w:szCs w:val="21"/>
        </w:rPr>
        <w:t xml:space="preserve">Confirm consistency between the record and prior documented performance history.</w:t>
      </w:r>
    </w:p>
    <w:p>
      <w:pPr>
        <w:pStyle w:val="Heading2"/>
        <w:spacing w:after="90" w:before="220"/>
      </w:pPr>
      <w:r>
        <w:rPr>
          <w:rFonts w:ascii="Georgia" w:cs="Georgia" w:eastAsia="Georgia" w:hAnsi="Georgia"/>
          <w:b/>
          <w:bCs/>
          <w:color w:val="141414"/>
          <w:sz w:val="24"/>
          <w:szCs w:val="24"/>
        </w:rPr>
        <w:t xml:space="preserve">IX. Conclusion</w:t>
      </w:r>
    </w:p>
    <w:p>
      <w:pPr>
        <w:spacing w:after="130"/>
        <w:jc w:val="both"/>
      </w:pPr>
      <w:r>
        <w:rPr>
          <w:rFonts w:ascii="Georgia" w:cs="Georgia" w:eastAsia="Georgia" w:hAnsi="Georgia"/>
          <w:color w:val="1a1a1a"/>
          <w:sz w:val="21"/>
          <w:szCs w:val="21"/>
        </w:rPr>
        <w:t xml:space="preserve">Risk arises where evidentiary traceability is absent, which is to say where Decision Reconstruction Risk is present. The organizations that will weather the next decade are the ones that treat a record as something that must answer for itself: in a courtroom, before a regulator, and to the person whose life it describes. Records will be judged on whether the reasoning behind them is visible, reproducible, and capable of withstanding independent scrutiny, in Europe and the United States alike.</w:t>
      </w:r>
    </w:p>
    <w:p>
      <w:pPr>
        <w:spacing w:after="160" w:before="40"/>
      </w:pPr>
      <w:r>
        <w:rPr>
          <w:rFonts w:ascii="Georgia" w:cs="Georgia" w:eastAsia="Georgia" w:hAnsi="Georgia"/>
          <w:b/>
          <w:bCs/>
          <w:i/>
          <w:iCs/>
          <w:color w:val="141414"/>
          <w:sz w:val="22"/>
          <w:szCs w:val="22"/>
        </w:rPr>
        <w:t xml:space="preserve">The drafting tool has changed. The evidentiary test has not.</w:t>
      </w:r>
    </w:p>
    <w:p>
      <w:pPr>
        <w:pStyle w:val="Heading2"/>
        <w:spacing w:after="90" w:before="220"/>
      </w:pPr>
      <w:r>
        <w:rPr>
          <w:rFonts w:ascii="Georgia" w:cs="Georgia" w:eastAsia="Georgia" w:hAnsi="Georgia"/>
          <w:b/>
          <w:bCs/>
          <w:color w:val="141414"/>
          <w:sz w:val="24"/>
          <w:szCs w:val="24"/>
        </w:rPr>
        <w:t xml:space="preserve">About JRS</w:t>
      </w:r>
    </w:p>
    <w:p>
      <w:pPr>
        <w:spacing w:after="130"/>
        <w:jc w:val="both"/>
      </w:pPr>
      <w:r>
        <w:rPr>
          <w:rFonts w:ascii="Georgia" w:cs="Georgia" w:eastAsia="Georgia" w:hAnsi="Georgia"/>
          <w:color w:val="1a1a1a"/>
          <w:sz w:val="21"/>
          <w:szCs w:val="21"/>
        </w:rPr>
        <w:t xml:space="preserve">JRS provides a structured documentation review instrument that practitioners in HR, compliance, investigations, audit, and legal review can apply within existing workflows to evaluate whether AI-assisted records will hold up under independent scrutiny. The framework addresses a specific and recurring gap: AI-generated content enters permanent records as finished documentation, but the evidentiary foundation behind that content is often absent. That gap is </w:t>
      </w:r>
      <w:r>
        <w:rPr>
          <w:rFonts w:ascii="Georgia" w:cs="Georgia" w:eastAsia="Georgia" w:hAnsi="Georgia"/>
          <w:b/>
          <w:bCs/>
          <w:color w:val="1a1a1a"/>
          <w:sz w:val="21"/>
          <w:szCs w:val="21"/>
        </w:rPr>
        <w:t xml:space="preserve">Decision Reconstruction Risk</w:t>
      </w:r>
      <w:r>
        <w:rPr>
          <w:rFonts w:ascii="Georgia" w:cs="Georgia" w:eastAsia="Georgia" w:hAnsi="Georgia"/>
          <w:color w:val="1a1a1a"/>
          <w:sz w:val="21"/>
          <w:szCs w:val="21"/>
        </w:rPr>
        <w:t xml:space="preserve">, and JRS exists to catch it before a record is finalized.</w:t>
      </w:r>
    </w:p>
    <w:p>
      <w:pPr>
        <w:spacing w:after="130"/>
        <w:jc w:val="both"/>
      </w:pPr>
      <w:r>
        <w:rPr>
          <w:rFonts w:ascii="Georgia" w:cs="Georgia" w:eastAsia="Georgia" w:hAnsi="Georgia"/>
          <w:color w:val="1a1a1a"/>
          <w:sz w:val="21"/>
          <w:szCs w:val="21"/>
        </w:rPr>
        <w:t xml:space="preserve">JRS is built around a single question: when AI-assisted content enters a workplace record, does the record remain traceable, evidentiary, and reconstructable under structured review? Five checks answer it. Can the conclusion be reconstructed from the record alone? Is its basis identifiable? Can the chronology be followed? Can a reviewer trace how the conclusion was reached? Is the evidence sufficient?</w:t>
      </w:r>
    </w:p>
    <w:p>
      <w:pPr>
        <w:spacing w:after="130"/>
        <w:jc w:val="both"/>
      </w:pPr>
      <w:r>
        <w:rPr>
          <w:rFonts w:ascii="Georgia" w:cs="Georgia" w:eastAsia="Georgia" w:hAnsi="Georgia"/>
          <w:color w:val="1a1a1a"/>
          <w:sz w:val="21"/>
          <w:szCs w:val="21"/>
        </w:rPr>
        <w:t xml:space="preserve">JRS is in structured validation. Independent reviewers across 8 countries on 5 continents have completed structured reviews. Independent raters reached substantial agreement under a pre-registered analysis. Three independent AI models, each from a different vendor, applied the standard to the same records and agreed 84% of the time across 15 constructed records, a reproducibility signal that is distinct from accuracy. A related article is forthcoming in CEP Magazine in November. These results support reproducible application; they do not yet establish accuracy or real-world effectiveness, which are later stages of the program.</w:t>
      </w:r>
    </w:p>
    <w:p>
      <w:pPr>
        <w:spacing w:after="130"/>
        <w:jc w:val="both"/>
      </w:pPr>
      <w:r>
        <w:rPr>
          <w:rFonts w:ascii="Georgia" w:cs="Georgia" w:eastAsia="Georgia" w:hAnsi="Georgia"/>
          <w:color w:val="1a1a1a"/>
          <w:sz w:val="21"/>
          <w:szCs w:val="21"/>
        </w:rPr>
        <w:t xml:space="preserve">JRS operates within existing HR, compliance, investigations, audit, and legal review processes. No specialized software or procedural redesign required.</w:t>
      </w:r>
    </w:p>
    <w:p>
      <w:pPr>
        <w:pStyle w:val="Heading2"/>
        <w:spacing w:after="90" w:before="220"/>
      </w:pPr>
      <w:r>
        <w:rPr>
          <w:rFonts w:ascii="Georgia" w:cs="Georgia" w:eastAsia="Georgia" w:hAnsi="Georgia"/>
          <w:b/>
          <w:bCs/>
          <w:color w:val="141414"/>
          <w:sz w:val="24"/>
          <w:szCs w:val="24"/>
        </w:rPr>
        <w:t xml:space="preserve">Acknowledgment</w:t>
      </w:r>
    </w:p>
    <w:p>
      <w:pPr>
        <w:spacing w:after="130"/>
        <w:jc w:val="both"/>
      </w:pPr>
      <w:r>
        <w:rPr>
          <w:rFonts w:ascii="Georgia" w:cs="Georgia" w:eastAsia="Georgia" w:hAnsi="Georgia"/>
          <w:color w:val="1a1a1a"/>
          <w:sz w:val="21"/>
          <w:szCs w:val="21"/>
        </w:rPr>
        <w:t xml:space="preserve">The reliability and reproducibility methodology behind the validation figures cited above was designed by Ubayet Hossain, FRM, Associate Director (Model Validation), KPMG India.</w:t>
      </w:r>
    </w:p>
    <w:p>
      <w:pPr>
        <w:pStyle w:val="Heading2"/>
        <w:spacing w:after="90" w:before="220"/>
      </w:pPr>
      <w:r>
        <w:rPr>
          <w:rFonts w:ascii="Georgia" w:cs="Georgia" w:eastAsia="Georgia" w:hAnsi="Georgia"/>
          <w:b/>
          <w:bCs/>
          <w:color w:val="141414"/>
          <w:sz w:val="24"/>
          <w:szCs w:val="24"/>
        </w:rPr>
        <w:t xml:space="preserve">About the Authors</w:t>
      </w:r>
    </w:p>
    <w:p>
      <w:pPr>
        <w:spacing w:after="130"/>
        <w:jc w:val="both"/>
      </w:pPr>
      <w:r>
        <w:rPr>
          <w:rFonts w:ascii="Georgia" w:cs="Georgia" w:eastAsia="Georgia" w:hAnsi="Georgia"/>
          <w:b/>
          <w:bCs/>
          <w:color w:val="1a1a1a"/>
          <w:sz w:val="21"/>
          <w:szCs w:val="21"/>
        </w:rPr>
        <w:t xml:space="preserve">Gabriela Bar, PhD,</w:t>
      </w:r>
      <w:r>
        <w:rPr>
          <w:rFonts w:ascii="Georgia" w:cs="Georgia" w:eastAsia="Georgia" w:hAnsi="Georgia"/>
          <w:color w:val="1a1a1a"/>
          <w:sz w:val="21"/>
          <w:szCs w:val="21"/>
        </w:rPr>
        <w:t xml:space="preserve"> is an attorney at law and founder of Gabriela Bar Law and AI in Wroclaw, Poland. She advises organizations on the legal and ethical dimensions of trustworthy AI and data protection, serves as an independent ethics advisor on EU research projects, and is recognized in the Lexology Index: Artificial Intelligence 2026. She has been named among Forbes Top 25 Business Lawyers and TOP100 Women in AI, is a member of the Federation des Barreaux d'Europe, and speaks regularly at academic and industry conferences.</w:t>
      </w:r>
    </w:p>
    <w:p>
      <w:pPr>
        <w:spacing w:after="130"/>
        <w:jc w:val="both"/>
      </w:pPr>
      <w:r>
        <w:rPr>
          <w:rFonts w:ascii="Georgia" w:cs="Georgia" w:eastAsia="Georgia" w:hAnsi="Georgia"/>
          <w:b/>
          <w:bCs/>
          <w:color w:val="1a1a1a"/>
          <w:sz w:val="21"/>
          <w:szCs w:val="21"/>
        </w:rPr>
        <w:t xml:space="preserve">Phillip Wikes</w:t>
      </w:r>
      <w:r>
        <w:rPr>
          <w:rFonts w:ascii="Georgia" w:cs="Georgia" w:eastAsia="Georgia" w:hAnsi="Georgia"/>
          <w:color w:val="1a1a1a"/>
          <w:sz w:val="21"/>
          <w:szCs w:val="21"/>
        </w:rPr>
        <w:t xml:space="preserve"> is an AI Governance and Cognitive Risk Advisor focused on documentation integrity, evidentiary traceability, and record-level controls in AI-assisted environments. From 2012 to 2025 he served as a Lead Civil Rights Officer at the Maryland Commission on Civil Rights, evaluating discrimination complaints and resolving matters through investigation, mediation, and structured fact-finding under federal HUD and EEOC frameworks. He developed the Justification Review Standard (JRS) and named the risk it addresses, Decision Reconstruction Risk (DRR), and holds an M.S. in Negotiation and Conflict Management.</w:t>
      </w:r>
    </w:p>
    <w:p>
      <w:pPr>
        <w:spacing w:after="130"/>
        <w:jc w:val="both"/>
      </w:pPr>
      <w:r>
        <w:rPr>
          <w:rFonts w:ascii="Georgia" w:cs="Georgia" w:eastAsia="Georgia" w:hAnsi="Georgia"/>
          <w:color w:val="1a1a1a"/>
          <w:sz w:val="21"/>
          <w:szCs w:val="21"/>
        </w:rPr>
        <w:t xml:space="preserve">JRS: https://jrsstandard.com</w:t>
      </w:r>
    </w:p>
    <w:sectPr>
      <w:pgSz w:w="12240" w:h="15840" w:orient="portrait"/>
      <w:pgMar w:top="1440" w:right="1600" w:bottom="144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2026-07-26T10:42:58.246Z</dcterms:created>
  <dcterms:modified xsi:type="dcterms:W3CDTF">2026-07-26T10:42:58.266Z</dcterms:modified>
</cp:coreProperties>
</file>

<file path=docProps/custom.xml><?xml version="1.0" encoding="utf-8"?>
<Properties xmlns="http://schemas.openxmlformats.org/officeDocument/2006/custom-properties" xmlns:vt="http://schemas.openxmlformats.org/officeDocument/2006/docPropsVTypes"/>
</file>