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olor w:val="8B6914"/>
          <w:sz w:val="96"/>
          <w:szCs w:val="96"/>
        </w:rPr>
        <w:t xml:space="preserve">JRS</w:t>
      </w:r>
      <w:r>
        <w:rPr>
          <w:rFonts w:ascii="Arial" w:cs="Arial" w:eastAsia="Arial" w:hAnsi="Arial"/>
          <w:b/>
          <w:bCs/>
          <w:color w:val="8B6914"/>
          <w:sz w:val="40"/>
          <w:szCs w:val="40"/>
          <w:vertAlign w:val="superscript"/>
        </w:rPr>
        <w:t xml:space="preserve">™</w:t>
      </w:r>
    </w:p>
    <w:p>
      <w:pPr>
        <w:pBdr>
          <w:top w:val="single" w:color="8B6914" w:sz="8"/>
          <w:bottom w:val="single" w:color="8B6914" w:sz="8"/>
        </w:pBdr>
        <w:spacing w:after="60" w:before="0"/>
        <w:jc w:val="center"/>
      </w:pPr>
      <w:r>
        <w:rPr>
          <w:rFonts w:ascii="Arial" w:cs="Arial" w:eastAsia="Arial" w:hAnsi="Arial"/>
          <w:b/>
          <w:bCs/>
          <w:caps/>
          <w:color w:val="1A1A1A"/>
          <w:sz w:val="36"/>
          <w:szCs w:val="36"/>
        </w:rPr>
        <w:t xml:space="preserve">JUSTIFICATION REVIEW STANDARD</w:t>
      </w:r>
    </w:p>
    <w:p>
      <w:pPr>
        <w:spacing w:after="0" w:before="80"/>
      </w:pPr>
    </w:p>
    <w:p>
      <w:pPr>
        <w:spacing w:after="40" w:before="0"/>
        <w:jc w:val="center"/>
      </w:pPr>
      <w:r>
        <w:rPr>
          <w:rFonts w:ascii="Arial" w:cs="Arial" w:eastAsia="Arial" w:hAnsi="Arial"/>
          <w:i/>
          <w:iCs/>
          <w:color w:val="8B6914"/>
          <w:sz w:val="28"/>
          <w:szCs w:val="28"/>
        </w:rPr>
        <w:t xml:space="preserve">Investigator Field Guide</w:t>
      </w:r>
    </w:p>
    <w:p>
      <w:pPr>
        <w:spacing w:after="40" w:before="0"/>
        <w:jc w:val="center"/>
      </w:pPr>
      <w:r>
        <w:rPr>
          <w:rFonts w:ascii="Arial" w:cs="Arial" w:eastAsia="Arial" w:hAnsi="Arial"/>
          <w:color w:val="555555"/>
          <w:sz w:val="22"/>
          <w:szCs w:val="22"/>
        </w:rPr>
        <w:t xml:space="preserve">Assessing Evidentiary Traceability in Administrative Records</w:t>
      </w:r>
    </w:p>
    <w:p>
      <w:pPr>
        <w:spacing w:after="0" w:before="80"/>
      </w:pPr>
    </w:p>
    <w:p>
      <w:pPr>
        <w:spacing w:after="40" w:before="0"/>
        <w:jc w:val="center"/>
      </w:pPr>
      <w:r>
        <w:rPr>
          <w:rFonts w:ascii="Arial" w:cs="Arial" w:eastAsia="Arial" w:hAnsi="Arial"/>
          <w:color w:val="888888"/>
          <w:sz w:val="18"/>
          <w:szCs w:val="18"/>
        </w:rPr>
        <w:t xml:space="preserve">Document 001-INV  |  Technical Guidance  |  Version 1.0</w:t>
      </w:r>
    </w:p>
    <w:p>
      <w:pPr>
        <w:spacing w:after="40" w:before="0"/>
        <w:jc w:val="center"/>
      </w:pPr>
      <w:r>
        <w:rPr>
          <w:rFonts w:ascii="Arial" w:cs="Arial" w:eastAsia="Arial" w:hAnsi="Arial"/>
          <w:color w:val="888888"/>
          <w:sz w:val="18"/>
          <w:szCs w:val="18"/>
        </w:rPr>
        <w:t xml:space="preserve">Effective May 2026  |  Office of the Investigator</w:t>
      </w:r>
    </w:p>
    <w:p>
      <w:pPr>
        <w:spacing w:after="0" w:before="200"/>
      </w:pPr>
    </w:p>
    <w:p>
      <w:pPr>
        <w:pBdr>
          <w:bottom w:val="single" w:color="B8A060" w:sz="8" w:space="1"/>
        </w:pBdr>
        <w:spacing w:after="120" w:before="120"/>
      </w:pPr>
    </w:p>
    <w:p>
      <w:pPr>
        <w:spacing w:after="40" w:before="120"/>
        <w:jc w:val="center"/>
      </w:pPr>
      <w:r>
        <w:rPr>
          <w:rFonts w:ascii="Arial" w:cs="Arial" w:eastAsia="Arial" w:hAnsi="Arial"/>
          <w:b/>
          <w:bCs/>
          <w:color w:val="1A1A1A"/>
          <w:sz w:val="20"/>
          <w:szCs w:val="20"/>
        </w:rPr>
        <w:t xml:space="preserve">Phillip Wikes, M.S.</w:t>
      </w:r>
    </w:p>
    <w:p>
      <w:pPr>
        <w:spacing w:after="40" w:before="0"/>
        <w:jc w:val="center"/>
      </w:pPr>
      <w:r>
        <w:rPr>
          <w:rFonts w:ascii="Arial" w:cs="Arial" w:eastAsia="Arial" w:hAnsi="Arial"/>
          <w:i/>
          <w:iCs/>
          <w:color w:val="555555"/>
          <w:sz w:val="19"/>
          <w:szCs w:val="19"/>
        </w:rPr>
        <w:t xml:space="preserve">Former Lead Civil Rights Officer, Maryland Commission on Civil Rights</w:t>
      </w:r>
    </w:p>
    <w:p>
      <w:pPr>
        <w:spacing w:after="0" w:before="0"/>
        <w:jc w:val="center"/>
      </w:pPr>
      <w:r>
        <w:rPr>
          <w:rFonts w:ascii="Arial" w:cs="Arial" w:eastAsia="Arial" w:hAnsi="Arial"/>
          <w:i/>
          <w:iCs/>
          <w:color w:val="555555"/>
          <w:sz w:val="19"/>
          <w:szCs w:val="19"/>
        </w:rPr>
        <w:t xml:space="preserve">AI Governance and Cognitive Risk Advisor</w:t>
      </w:r>
    </w:p>
    <w:p>
      <w:pPr>
        <w:spacing w:after="0" w:before="400"/>
      </w:pPr>
    </w:p>
    <w:p>
      <w:pPr>
        <w:spacing w:after="0" w:before="0"/>
        <w:jc w:val="center"/>
      </w:pPr>
      <w:r>
        <w:rPr>
          <w:rFonts w:ascii="Arial" w:cs="Arial" w:eastAsia="Arial" w:hAnsi="Arial"/>
          <w:caps/>
          <w:color w:val="8B6914"/>
          <w:sz w:val="17"/>
          <w:szCs w:val="17"/>
        </w:rPr>
        <w:t xml:space="preserve">HR  |  COMPLIANCE  |  INVESTIGATIONS</w:t>
      </w:r>
    </w:p>
    <w:p>
      <w:pPr>
        <w:pageBreakBefore/>
      </w:pPr>
    </w:p>
    <w:p>
      <w:pPr>
        <w:spacing w:after="160" w:before="320"/>
      </w:pPr>
      <w:r>
        <w:rPr>
          <w:rFonts w:ascii="Arial" w:cs="Arial" w:eastAsia="Arial" w:hAnsi="Arial"/>
          <w:b/>
          <w:bCs/>
          <w:color w:val="8B6914"/>
          <w:sz w:val="24"/>
          <w:szCs w:val="24"/>
        </w:rPr>
        <w:t xml:space="preserve">| TABLE OF CONTENTS</w:t>
      </w:r>
    </w:p>
    <w:p>
      <w:pPr>
        <w:pBdr>
          <w:bottom w:val="single" w:color="B8A060" w:sz="8" w:space="1"/>
        </w:pBdr>
        <w:spacing w:after="120" w:before="120"/>
      </w:pPr>
    </w:p>
    <w:p>
      <w:pPr>
        <w:spacing w:after="0" w:before="120"/>
      </w:pPr>
    </w:p>
    <w:p>
      <w:pPr>
        <w:tabs>
          <w:tab w:val="right" w:pos="9000"/>
        </w:tabs>
        <w:spacing w:after="80" w:before="80"/>
      </w:pPr>
      <w:r>
        <w:rPr>
          <w:rFonts w:ascii="Arial" w:cs="Arial" w:eastAsia="Arial" w:hAnsi="Arial"/>
          <w:color w:val="1A1A1A"/>
          <w:sz w:val="20"/>
          <w:szCs w:val="20"/>
        </w:rPr>
        <w:t xml:space="preserve">1.  Purpose and Scope</w:t>
      </w:r>
      <w:r>
        <w:rPr>
          <w:rFonts w:ascii="Arial" w:cs="Arial" w:eastAsia="Arial" w:hAnsi="Arial"/>
          <w:color w:val="888888"/>
          <w:sz w:val="20"/>
          <w:szCs w:val="20"/>
        </w:rPr>
        <w:t xml:space="preserve">	2</w:t>
      </w:r>
    </w:p>
    <w:p>
      <w:pPr>
        <w:tabs>
          <w:tab w:val="right" w:pos="9000"/>
        </w:tabs>
        <w:spacing w:after="80" w:before="80"/>
      </w:pPr>
      <w:r>
        <w:rPr>
          <w:rFonts w:ascii="Arial" w:cs="Arial" w:eastAsia="Arial" w:hAnsi="Arial"/>
          <w:color w:val="1A1A1A"/>
          <w:sz w:val="20"/>
          <w:szCs w:val="20"/>
        </w:rPr>
        <w:t xml:space="preserve">2.  Key Definitions</w:t>
      </w:r>
      <w:r>
        <w:rPr>
          <w:rFonts w:ascii="Arial" w:cs="Arial" w:eastAsia="Arial" w:hAnsi="Arial"/>
          <w:color w:val="888888"/>
          <w:sz w:val="20"/>
          <w:szCs w:val="20"/>
        </w:rPr>
        <w:t xml:space="preserve">	2</w:t>
      </w:r>
    </w:p>
    <w:p>
      <w:pPr>
        <w:tabs>
          <w:tab w:val="right" w:pos="9000"/>
        </w:tabs>
        <w:spacing w:after="80" w:before="80"/>
      </w:pPr>
      <w:r>
        <w:rPr>
          <w:rFonts w:ascii="Arial" w:cs="Arial" w:eastAsia="Arial" w:hAnsi="Arial"/>
          <w:color w:val="1A1A1A"/>
          <w:sz w:val="20"/>
          <w:szCs w:val="20"/>
        </w:rPr>
        <w:t xml:space="preserve">3.  The Standard of Review</w:t>
      </w:r>
      <w:r>
        <w:rPr>
          <w:rFonts w:ascii="Arial" w:cs="Arial" w:eastAsia="Arial" w:hAnsi="Arial"/>
          <w:color w:val="888888"/>
          <w:sz w:val="20"/>
          <w:szCs w:val="20"/>
        </w:rPr>
        <w:t xml:space="preserve">	3</w:t>
      </w:r>
    </w:p>
    <w:p>
      <w:pPr>
        <w:tabs>
          <w:tab w:val="right" w:pos="9000"/>
        </w:tabs>
        <w:spacing w:after="80" w:before="80"/>
      </w:pPr>
      <w:r>
        <w:rPr>
          <w:rFonts w:ascii="Arial" w:cs="Arial" w:eastAsia="Arial" w:hAnsi="Arial"/>
          <w:color w:val="1A1A1A"/>
          <w:sz w:val="20"/>
          <w:szCs w:val="20"/>
        </w:rPr>
        <w:t xml:space="preserve">4.  The Time Traveler Test</w:t>
      </w:r>
      <w:r>
        <w:rPr>
          <w:rFonts w:ascii="Arial" w:cs="Arial" w:eastAsia="Arial" w:hAnsi="Arial"/>
          <w:color w:val="888888"/>
          <w:sz w:val="20"/>
          <w:szCs w:val="20"/>
        </w:rPr>
        <w:t xml:space="preserve">	4</w:t>
      </w:r>
    </w:p>
    <w:p>
      <w:pPr>
        <w:tabs>
          <w:tab w:val="right" w:pos="9000"/>
        </w:tabs>
        <w:spacing w:after="80" w:before="80"/>
      </w:pPr>
      <w:r>
        <w:rPr>
          <w:rFonts w:ascii="Arial" w:cs="Arial" w:eastAsia="Arial" w:hAnsi="Arial"/>
          <w:color w:val="1A1A1A"/>
          <w:sz w:val="20"/>
          <w:szCs w:val="20"/>
        </w:rPr>
        <w:t xml:space="preserve">5.  Investigating AI Documentation Risk</w:t>
      </w:r>
      <w:r>
        <w:rPr>
          <w:rFonts w:ascii="Arial" w:cs="Arial" w:eastAsia="Arial" w:hAnsi="Arial"/>
          <w:color w:val="888888"/>
          <w:sz w:val="20"/>
          <w:szCs w:val="20"/>
        </w:rPr>
        <w:t xml:space="preserve">	4</w:t>
      </w:r>
    </w:p>
    <w:p>
      <w:pPr>
        <w:tabs>
          <w:tab w:val="right" w:pos="9000"/>
        </w:tabs>
        <w:spacing w:after="80" w:before="80"/>
      </w:pPr>
      <w:r>
        <w:rPr>
          <w:rFonts w:ascii="Arial" w:cs="Arial" w:eastAsia="Arial" w:hAnsi="Arial"/>
          <w:color w:val="1A1A1A"/>
          <w:sz w:val="20"/>
          <w:szCs w:val="20"/>
        </w:rPr>
        <w:t xml:space="preserve">6.  The Adjective Alert</w:t>
      </w:r>
      <w:r>
        <w:rPr>
          <w:rFonts w:ascii="Arial" w:cs="Arial" w:eastAsia="Arial" w:hAnsi="Arial"/>
          <w:color w:val="888888"/>
          <w:sz w:val="20"/>
          <w:szCs w:val="20"/>
        </w:rPr>
        <w:t xml:space="preserve">	5</w:t>
      </w:r>
    </w:p>
    <w:p>
      <w:pPr>
        <w:tabs>
          <w:tab w:val="right" w:pos="9000"/>
        </w:tabs>
        <w:spacing w:after="80" w:before="80"/>
      </w:pPr>
      <w:r>
        <w:rPr>
          <w:rFonts w:ascii="Arial" w:cs="Arial" w:eastAsia="Arial" w:hAnsi="Arial"/>
          <w:color w:val="1A1A1A"/>
          <w:sz w:val="20"/>
          <w:szCs w:val="20"/>
        </w:rPr>
        <w:t xml:space="preserve">7.  Investigator Protocol: Identifying the Justification Gap</w:t>
      </w:r>
      <w:r>
        <w:rPr>
          <w:rFonts w:ascii="Arial" w:cs="Arial" w:eastAsia="Arial" w:hAnsi="Arial"/>
          <w:color w:val="888888"/>
          <w:sz w:val="20"/>
          <w:szCs w:val="20"/>
        </w:rPr>
        <w:t xml:space="preserve">	6</w:t>
      </w:r>
    </w:p>
    <w:p>
      <w:pPr>
        <w:tabs>
          <w:tab w:val="right" w:pos="9000"/>
        </w:tabs>
        <w:spacing w:after="80" w:before="80"/>
      </w:pPr>
      <w:r>
        <w:rPr>
          <w:rFonts w:ascii="Arial" w:cs="Arial" w:eastAsia="Arial" w:hAnsi="Arial"/>
          <w:color w:val="1A1A1A"/>
          <w:sz w:val="20"/>
          <w:szCs w:val="20"/>
        </w:rPr>
        <w:t xml:space="preserve">8.  Submission Readiness: STOP / REVIEW / READY</w:t>
      </w:r>
      <w:r>
        <w:rPr>
          <w:rFonts w:ascii="Arial" w:cs="Arial" w:eastAsia="Arial" w:hAnsi="Arial"/>
          <w:color w:val="888888"/>
          <w:sz w:val="20"/>
          <w:szCs w:val="20"/>
        </w:rPr>
        <w:t xml:space="preserve">	7</w:t>
      </w:r>
    </w:p>
    <w:p>
      <w:pPr>
        <w:tabs>
          <w:tab w:val="right" w:pos="9000"/>
        </w:tabs>
        <w:spacing w:after="80" w:before="80"/>
      </w:pPr>
      <w:r>
        <w:rPr>
          <w:rFonts w:ascii="Arial" w:cs="Arial" w:eastAsia="Arial" w:hAnsi="Arial"/>
          <w:color w:val="1A1A1A"/>
          <w:sz w:val="20"/>
          <w:szCs w:val="20"/>
        </w:rPr>
        <w:t xml:space="preserve">9.  Verification Attestation for AI-Assisted Records</w:t>
      </w:r>
      <w:r>
        <w:rPr>
          <w:rFonts w:ascii="Arial" w:cs="Arial" w:eastAsia="Arial" w:hAnsi="Arial"/>
          <w:color w:val="888888"/>
          <w:sz w:val="20"/>
          <w:szCs w:val="20"/>
        </w:rPr>
        <w:t xml:space="preserve">	8</w:t>
      </w:r>
    </w:p>
    <w:p>
      <w:pPr>
        <w:tabs>
          <w:tab w:val="right" w:pos="9000"/>
        </w:tabs>
        <w:spacing w:after="80" w:before="80"/>
      </w:pPr>
      <w:r>
        <w:rPr>
          <w:rFonts w:ascii="Arial" w:cs="Arial" w:eastAsia="Arial" w:hAnsi="Arial"/>
          <w:color w:val="1A1A1A"/>
          <w:sz w:val="20"/>
          <w:szCs w:val="20"/>
        </w:rPr>
        <w:t xml:space="preserve">10.  Administrative Integrity and Neutrality</w:t>
      </w:r>
      <w:r>
        <w:rPr>
          <w:rFonts w:ascii="Arial" w:cs="Arial" w:eastAsia="Arial" w:hAnsi="Arial"/>
          <w:color w:val="888888"/>
          <w:sz w:val="20"/>
          <w:szCs w:val="20"/>
        </w:rPr>
        <w:t xml:space="preserve">	9</w:t>
      </w:r>
    </w:p>
    <w:p>
      <w:pPr>
        <w:tabs>
          <w:tab w:val="right" w:pos="9000"/>
        </w:tabs>
        <w:spacing w:after="80" w:before="80"/>
      </w:pPr>
      <w:r>
        <w:rPr>
          <w:rFonts w:ascii="Arial" w:cs="Arial" w:eastAsia="Arial" w:hAnsi="Arial"/>
          <w:color w:val="1A1A1A"/>
          <w:sz w:val="20"/>
          <w:szCs w:val="20"/>
        </w:rPr>
        <w:t xml:space="preserve">11.  Investigator Question Sets by Record Type</w:t>
      </w:r>
      <w:r>
        <w:rPr>
          <w:rFonts w:ascii="Arial" w:cs="Arial" w:eastAsia="Arial" w:hAnsi="Arial"/>
          <w:color w:val="888888"/>
          <w:sz w:val="20"/>
          <w:szCs w:val="20"/>
        </w:rPr>
        <w:t xml:space="preserve">	9</w:t>
      </w:r>
    </w:p>
    <w:p>
      <w:pPr>
        <w:tabs>
          <w:tab w:val="right" w:pos="9000"/>
        </w:tabs>
        <w:spacing w:after="80" w:before="80"/>
      </w:pPr>
      <w:r>
        <w:rPr>
          <w:rFonts w:ascii="Arial" w:cs="Arial" w:eastAsia="Arial" w:hAnsi="Arial"/>
          <w:color w:val="1A1A1A"/>
          <w:sz w:val="20"/>
          <w:szCs w:val="20"/>
        </w:rPr>
        <w:t xml:space="preserve">12.  Implementation Guidance</w:t>
      </w:r>
      <w:r>
        <w:rPr>
          <w:rFonts w:ascii="Arial" w:cs="Arial" w:eastAsia="Arial" w:hAnsi="Arial"/>
          <w:color w:val="888888"/>
          <w:sz w:val="20"/>
          <w:szCs w:val="20"/>
        </w:rPr>
        <w:t xml:space="preserve">	10</w:t>
      </w:r>
    </w:p>
    <w:p>
      <w:pPr>
        <w:pageBreakBefore/>
      </w:pPr>
    </w:p>
    <w:p>
      <w:pPr>
        <w:spacing w:after="160" w:before="320"/>
      </w:pPr>
      <w:r>
        <w:rPr>
          <w:rFonts w:ascii="Arial" w:cs="Arial" w:eastAsia="Arial" w:hAnsi="Arial"/>
          <w:b/>
          <w:bCs/>
          <w:color w:val="8B6914"/>
          <w:sz w:val="24"/>
          <w:szCs w:val="24"/>
        </w:rPr>
        <w:t xml:space="preserve">| 1. PURPOSE AND SCOPE</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This technical supplement introduces the Justification Review Standard (JRS™) for use by neutral fact-finders, investigators, and EEO counselors. It provides a clear, standardized method for determining whether administrative records contain sufficient verifiable evidence, especially when those records have been created or edited with automated systems.</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increasing use of AI tools in employment documentation has created new challenges for civil rights enforcement. These tools can produce polished, professional narratives that lack a solid factual foundation. The JRS helps investigators identify Justification Gaps so that Reports of Investigation remain firmly grounded in actual evidence rather than language that may conceal disparate treatment or bias against protected classes.</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framework operates within existing organizational workflows. No software changes, system replacements, or proprietary tooling are required. It applies regardless of whether the record was drafted by a manager, an investigator, an HR professional, or an automated tool.</w:t>
      </w:r>
    </w:p>
    <w:p>
      <w:pPr>
        <w:spacing w:after="0" w:before="120"/>
      </w:pPr>
    </w:p>
    <w:p>
      <w:pPr>
        <w:spacing w:after="160" w:before="320"/>
      </w:pPr>
      <w:r>
        <w:rPr>
          <w:rFonts w:ascii="Arial" w:cs="Arial" w:eastAsia="Arial" w:hAnsi="Arial"/>
          <w:b/>
          <w:bCs/>
          <w:color w:val="8B6914"/>
          <w:sz w:val="24"/>
          <w:szCs w:val="24"/>
        </w:rPr>
        <w:t xml:space="preserve">| 2. KEY DEFINITIONS</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following terms are used throughout this Field Guide. Familiarity with these definitions is essential before applying the standard.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TERM</w:t>
            </w:r>
          </w:p>
        </w:tc>
        <w:tc>
          <w:tcPr>
            <w:tcW w:type="dxa" w:w="716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DEFINITION</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JRS™</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Justification Review Standard: a documentation review structure used to evaluate whether organizational records remain reviewable without follow-up, contain support visible in the record itself, and permit the basis for conclusions to be reconstructed later.</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Justification Gap</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A documented deficiency in a record where the basis for a conclusion cannot be independently verified from the file. Serves as a trigger for additional neutral inquiry.</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Time Traveler Test</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diagnostic question: could a reviewer with no prior knowledge reconstruct the basis for this decision from the file alone, two years from now, without contacting the original author?</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Fact Anchor</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A specific, verifiable piece of evidence in the record: a date, log entry, documented interaction, email timestamp, or referenced record that grounds a conclusion.</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Adjective Alert</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A trigger condition: any evaluative adjective appearing in a record without a corresponding behavioral anchor automatically fails the Documented Reasoning condition.</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AI Documentation Risk</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The governance gap created when AI-generated reasoning enters permanent employment, administrative, or compliance records without adequate human review and attestation.</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Linguistic Sanitization</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of vague, neutral terms to describe conduct, especially when applied inconsistently to members of protected classes, in a way that obscures the underlying facts.</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Source Integrity</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The condition requiring that where automated tools contributed to a record, the source material underlying each conclusion remains identifiable and traceable.</w:t>
            </w:r>
          </w:p>
        </w:tc>
      </w:tr>
    </w:tbl>
    <w:p>
      <w:pPr>
        <w:spacing w:after="0" w:before="120"/>
      </w:pPr>
    </w:p>
    <w:p>
      <w:pPr>
        <w:pageBreakBefore/>
      </w:pPr>
    </w:p>
    <w:p>
      <w:pPr>
        <w:spacing w:after="160" w:before="320"/>
      </w:pPr>
      <w:r>
        <w:rPr>
          <w:rFonts w:ascii="Arial" w:cs="Arial" w:eastAsia="Arial" w:hAnsi="Arial"/>
          <w:b/>
          <w:bCs/>
          <w:color w:val="8B6914"/>
          <w:sz w:val="24"/>
          <w:szCs w:val="24"/>
        </w:rPr>
        <w:t xml:space="preserve">| 3. THE STANDARD OF REVIEW</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An administrative record meets the Justification Review Standard only when it satisfies all four of the following conditions. Each condition is evaluated independently. Satisfying three of four is not sufficient.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960"/>
        <w:gridCol w:w="2960"/>
      </w:tblGrid>
      <w:tr>
        <w:tc>
          <w:tcPr>
            <w:tcW w:type="dxa" w:w="144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Condition</w:t>
            </w:r>
          </w:p>
        </w:tc>
        <w:tc>
          <w:tcPr>
            <w:tcW w:type="dxa" w:w="200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Name</w:t>
            </w:r>
          </w:p>
        </w:tc>
        <w:tc>
          <w:tcPr>
            <w:tcW w:type="dxa" w:w="296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Standard</w:t>
            </w:r>
          </w:p>
        </w:tc>
        <w:tc>
          <w:tcPr>
            <w:tcW w:type="dxa" w:w="296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Diagnostic Gate</w:t>
            </w:r>
          </w:p>
        </w:tc>
      </w:tr>
      <w:tr>
        <w:tc>
          <w:tcPr>
            <w:tcW w:type="dxa" w:w="1440"/>
            <w:tcBorders>
              <w:top w:val="single" w:color="CCCCCC" w:sz="2"/>
              <w:left w:val="single" w:color="CCCCCC" w:sz="2"/>
              <w:bottom w:val="single" w:color="CCCCCC" w:sz="2"/>
              <w:right w:val="single" w:color="CCCCCC" w:sz="2"/>
            </w:tcBorders>
            <w:shd w:fill="F5F0E8" w:val="clear"/>
            <w:tcMar>
              <w:top w:type="dxa" w:w="80"/>
              <w:left w:type="dxa" w:w="120"/>
              <w:bottom w:type="dxa" w:w="80"/>
              <w:right w:type="dxa" w:w="120"/>
            </w:tcMar>
          </w:tcPr>
          <w:p>
            <w:r>
              <w:rPr>
                <w:rFonts w:ascii="Arial" w:cs="Arial" w:eastAsia="Arial" w:hAnsi="Arial"/>
                <w:b/>
                <w:bCs/>
                <w:color w:val="8B6914"/>
                <w:sz w:val="18"/>
                <w:szCs w:val="18"/>
              </w:rPr>
              <w:t xml:space="preserve">I</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Independently Reviewable</w:t>
            </w:r>
          </w:p>
        </w:tc>
        <w:tc>
          <w:tcPr>
            <w:tcW w:type="dxa" w:w="2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neutral reviewer with no prior knowledge can fully understand the basis for the action from the record alone.</w:t>
            </w:r>
          </w:p>
        </w:tc>
        <w:tc>
          <w:tcPr>
            <w:tcW w:type="dxa" w:w="29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b w:val="false"/>
                <w:bCs w:val="false"/>
                <w:color w:val="444444"/>
                <w:sz w:val="18"/>
                <w:szCs w:val="18"/>
              </w:rPr>
              <w:t xml:space="preserve">Time Traveler Test: Could a reviewer reconstruct the basis two years from now without calling the author?</w:t>
            </w:r>
          </w:p>
        </w:tc>
      </w:tr>
      <w:tr>
        <w:tc>
          <w:tcPr>
            <w:tcW w:type="dxa" w:w="1440"/>
            <w:tcBorders>
              <w:top w:val="single" w:color="CCCCCC" w:sz="2"/>
              <w:left w:val="single" w:color="CCCCCC" w:sz="2"/>
              <w:bottom w:val="single" w:color="CCCCCC" w:sz="2"/>
              <w:right w:val="single" w:color="CCCCCC" w:sz="2"/>
            </w:tcBorders>
            <w:shd w:fill="F5F0E8" w:val="clear"/>
            <w:tcMar>
              <w:top w:type="dxa" w:w="80"/>
              <w:left w:type="dxa" w:w="120"/>
              <w:bottom w:type="dxa" w:w="80"/>
              <w:right w:type="dxa" w:w="120"/>
            </w:tcMar>
          </w:tcPr>
          <w:p>
            <w:r>
              <w:rPr>
                <w:rFonts w:ascii="Arial" w:cs="Arial" w:eastAsia="Arial" w:hAnsi="Arial"/>
                <w:b/>
                <w:bCs/>
                <w:color w:val="8B6914"/>
                <w:sz w:val="18"/>
                <w:szCs w:val="18"/>
              </w:rPr>
              <w:t xml:space="preserve">II</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Observable Support</w:t>
            </w:r>
          </w:p>
        </w:tc>
        <w:tc>
          <w:tcPr>
            <w:tcW w:type="dxa" w:w="2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conclusion is supported by a specific, verifiable anchor: a date, log entry, documented interaction, or referenced record.</w:t>
            </w:r>
          </w:p>
        </w:tc>
        <w:tc>
          <w:tcPr>
            <w:tcW w:type="dxa" w:w="29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b w:val="false"/>
                <w:bCs w:val="false"/>
                <w:color w:val="444444"/>
                <w:sz w:val="18"/>
                <w:szCs w:val="18"/>
              </w:rPr>
              <w:t xml:space="preserve">Fact Anchor: Is there a specific, verifiable anchor in the file for this conclusion?</w:t>
            </w:r>
          </w:p>
        </w:tc>
      </w:tr>
      <w:tr>
        <w:tc>
          <w:tcPr>
            <w:tcW w:type="dxa" w:w="1440"/>
            <w:tcBorders>
              <w:top w:val="single" w:color="CCCCCC" w:sz="2"/>
              <w:left w:val="single" w:color="CCCCCC" w:sz="2"/>
              <w:bottom w:val="single" w:color="CCCCCC" w:sz="2"/>
              <w:right w:val="single" w:color="CCCCCC" w:sz="2"/>
            </w:tcBorders>
            <w:shd w:fill="F5F0E8" w:val="clear"/>
            <w:tcMar>
              <w:top w:type="dxa" w:w="80"/>
              <w:left w:type="dxa" w:w="120"/>
              <w:bottom w:type="dxa" w:w="80"/>
              <w:right w:type="dxa" w:w="120"/>
            </w:tcMar>
          </w:tcPr>
          <w:p>
            <w:r>
              <w:rPr>
                <w:rFonts w:ascii="Arial" w:cs="Arial" w:eastAsia="Arial" w:hAnsi="Arial"/>
                <w:b/>
                <w:bCs/>
                <w:color w:val="8B6914"/>
                <w:sz w:val="18"/>
                <w:szCs w:val="18"/>
              </w:rPr>
              <w:t xml:space="preserve">III</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Documented Reasoning</w:t>
            </w:r>
          </w:p>
        </w:tc>
        <w:tc>
          <w:tcPr>
            <w:tcW w:type="dxa" w:w="2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path from evidence to conclusion is visible within the record. No unstated assumptions or context outside the file.</w:t>
            </w:r>
          </w:p>
        </w:tc>
        <w:tc>
          <w:tcPr>
            <w:tcW w:type="dxa" w:w="29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b w:val="false"/>
                <w:bCs w:val="false"/>
                <w:color w:val="444444"/>
                <w:sz w:val="18"/>
                <w:szCs w:val="18"/>
              </w:rPr>
              <w:t xml:space="preserve">Reasoning Trail: Can the logic be traced to documented conduct, interactions, or referenced records?</w:t>
            </w:r>
          </w:p>
        </w:tc>
      </w:tr>
      <w:tr>
        <w:tc>
          <w:tcPr>
            <w:tcW w:type="dxa" w:w="1440"/>
            <w:tcBorders>
              <w:top w:val="single" w:color="CCCCCC" w:sz="2"/>
              <w:left w:val="single" w:color="CCCCCC" w:sz="2"/>
              <w:bottom w:val="single" w:color="CCCCCC" w:sz="2"/>
              <w:right w:val="single" w:color="CCCCCC" w:sz="2"/>
            </w:tcBorders>
            <w:shd w:fill="F5F0E8" w:val="clear"/>
            <w:tcMar>
              <w:top w:type="dxa" w:w="80"/>
              <w:left w:type="dxa" w:w="120"/>
              <w:bottom w:type="dxa" w:w="80"/>
              <w:right w:type="dxa" w:w="120"/>
            </w:tcMar>
          </w:tcPr>
          <w:p>
            <w:r>
              <w:rPr>
                <w:rFonts w:ascii="Arial" w:cs="Arial" w:eastAsia="Arial" w:hAnsi="Arial"/>
                <w:b/>
                <w:bCs/>
                <w:color w:val="8B6914"/>
                <w:sz w:val="18"/>
                <w:szCs w:val="18"/>
              </w:rPr>
              <w:t xml:space="preserve">IV</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Source Integrity</w:t>
            </w:r>
          </w:p>
        </w:tc>
        <w:tc>
          <w:tcPr>
            <w:tcW w:type="dxa" w:w="2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Where automated tools contributed, source material underlying each conclusion is identifiable. Human reviewer has attested to accuracy.</w:t>
            </w:r>
          </w:p>
        </w:tc>
        <w:tc>
          <w:tcPr>
            <w:tcW w:type="dxa" w:w="29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b w:val="false"/>
                <w:bCs w:val="false"/>
                <w:color w:val="444444"/>
                <w:sz w:val="18"/>
                <w:szCs w:val="18"/>
              </w:rPr>
              <w:t xml:space="preserve">AI Attestation: Has a human reviewer confirmed that no unverified characterizations have been introduced?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REVIEWER REMINDER</w:t>
            </w:r>
          </w:p>
          <w:p>
            <w:pPr>
              <w:spacing w:after="60" w:before="60"/>
            </w:pPr>
            <w:r>
              <w:rPr>
                <w:rFonts w:ascii="Arial" w:cs="Arial" w:eastAsia="Arial" w:hAnsi="Arial"/>
                <w:i/>
                <w:iCs/>
                <w:color w:val="1A1A1A"/>
                <w:sz w:val="19"/>
                <w:szCs w:val="19"/>
              </w:rPr>
              <w:t xml:space="preserve">The review evaluates whether the support is visible in the file, regardless of outcome. A record may satisfy all four conditions even when the underlying decision is later disputed on substantive grounds. Documentation quality and decision quality are not the same thing.</w:t>
            </w:r>
          </w:p>
          <w:p>
            <w:pPr>
              <w:spacing w:after="60" w:before="60"/>
            </w:pPr>
            <w:r>
              <w:rPr>
                <w:rFonts w:ascii="Arial" w:cs="Arial" w:eastAsia="Arial" w:hAnsi="Arial"/>
                <w:i/>
                <w:iCs/>
                <w:color w:val="1A1A1A"/>
                <w:sz w:val="19"/>
                <w:szCs w:val="19"/>
              </w:rPr>
              <w:t xml:space="preserve">A smooth narrative is not the same as a supported record.</w:t>
            </w:r>
          </w:p>
        </w:tc>
      </w:tr>
    </w:tbl>
    <w:p>
      <w:pPr>
        <w:spacing w:after="0" w:before="120"/>
      </w:pPr>
    </w:p>
    <w:p>
      <w:pPr>
        <w:spacing w:after="160" w:before="320"/>
      </w:pPr>
      <w:r>
        <w:rPr>
          <w:rFonts w:ascii="Arial" w:cs="Arial" w:eastAsia="Arial" w:hAnsi="Arial"/>
          <w:b/>
          <w:bCs/>
          <w:color w:val="8B6914"/>
          <w:sz w:val="24"/>
          <w:szCs w:val="24"/>
        </w:rPr>
        <w:t xml:space="preserve">| 4. THE TIME TRAVELER TEST</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Time Traveler Test is the core diagnostic lens for applying the JRS. It reframes the reviewer's perspective away from the present moment and toward later scrutiny.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THE TIME TRAVELER TEST</w:t>
            </w:r>
          </w:p>
          <w:p>
            <w:pPr>
              <w:spacing w:after="60" w:before="60"/>
            </w:pPr>
            <w:r>
              <w:rPr>
                <w:rFonts w:ascii="Arial" w:cs="Arial" w:eastAsia="Arial" w:hAnsi="Arial"/>
                <w:i/>
                <w:iCs/>
                <w:color w:val="1A1A1A"/>
                <w:sz w:val="19"/>
                <w:szCs w:val="19"/>
              </w:rPr>
              <w:t xml:space="preserve">"Could a later reviewer reconstruct the basis for this decision without contacting the original author?"</w:t>
            </w:r>
          </w:p>
          <w:p>
            <w:pPr>
              <w:spacing w:after="60" w:before="60"/>
            </w:pPr>
            <w:r>
              <w:rPr>
                <w:rFonts w:ascii="Arial" w:cs="Arial" w:eastAsia="Arial" w:hAnsi="Arial"/>
                <w:i/>
                <w:iCs/>
                <w:color w:val="1A1A1A"/>
                <w:sz w:val="19"/>
                <w:szCs w:val="19"/>
              </w:rPr>
              <w:t xml:space="preserve">Records that require knowing the participants, recalling prior conversations, or understanding context that was never written down do not satisfy this check. If the reviewer has to guess, the record is incomplete.</w:t>
            </w:r>
          </w:p>
          <w:p>
            <w:pPr>
              <w:spacing w:after="60" w:before="60"/>
            </w:pPr>
            <w:r>
              <w:rPr>
                <w:rFonts w:ascii="Arial" w:cs="Arial" w:eastAsia="Arial" w:hAnsi="Arial"/>
                <w:i/>
                <w:iCs/>
                <w:color w:val="1A1A1A"/>
                <w:sz w:val="19"/>
                <w:szCs w:val="19"/>
              </w:rPr>
              <w:t xml:space="preserve">Records that depend on who is still around to explain them do not hold up over time.</w:t>
            </w:r>
          </w:p>
        </w:tc>
      </w:tr>
    </w:tbl>
    <w:p>
      <w:pPr>
        <w:spacing w:after="0" w:before="100"/>
      </w:pPr>
    </w:p>
    <w:p>
      <w:pPr>
        <w:spacing w:after="100" w:before="100"/>
        <w:jc w:val="left"/>
      </w:pPr>
      <w:r>
        <w:rPr>
          <w:rFonts w:ascii="Arial" w:cs="Arial" w:eastAsia="Arial" w:hAnsi="Arial"/>
          <w:b w:val="false"/>
          <w:bCs w:val="false"/>
          <w:i w:val="false"/>
          <w:iCs w:val="false"/>
          <w:color w:val="1A1A1A"/>
          <w:sz w:val="20"/>
          <w:szCs w:val="20"/>
        </w:rPr>
        <w:t xml:space="preserve">Investigators should apply this test at the outset of any record review. If the answer is no, a Justification Gap has been identified and should be documented before the inquiry proceeds.</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What felt obvious during drafting may not be recoverable later. The file usually outlives the participants. Most review problems start earlier than people think.</w:t>
      </w:r>
    </w:p>
    <w:p>
      <w:pPr>
        <w:spacing w:after="0" w:before="120"/>
      </w:pPr>
    </w:p>
    <w:p>
      <w:pPr>
        <w:spacing w:after="160" w:before="320"/>
      </w:pPr>
      <w:r>
        <w:rPr>
          <w:rFonts w:ascii="Arial" w:cs="Arial" w:eastAsia="Arial" w:hAnsi="Arial"/>
          <w:b/>
          <w:bCs/>
          <w:color w:val="8B6914"/>
          <w:sz w:val="24"/>
          <w:szCs w:val="24"/>
        </w:rPr>
        <w:t xml:space="preserve">| 5. INVESTIGATING AI DOCUMENTATION RISK</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Investigators should apply the JRS during EEO intake and investigations to detect the following common issues. These patterns appear with increasing frequency as AI-assisted drafting becomes standard in HR, compliance, and investigation workflows.</w:t>
      </w:r>
    </w:p>
    <w:p>
      <w:pPr>
        <w:spacing w:after="0" w:before="120"/>
      </w:pPr>
    </w:p>
    <w:p>
      <w:pPr>
        <w:spacing w:after="100" w:before="100"/>
        <w:jc w:val="left"/>
      </w:pPr>
      <w:r>
        <w:rPr>
          <w:rFonts w:ascii="Arial" w:cs="Arial" w:eastAsia="Arial" w:hAnsi="Arial"/>
          <w:b/>
          <w:bCs/>
          <w:i w:val="false"/>
          <w:iCs w:val="false"/>
          <w:color w:val="8B6914"/>
          <w:sz w:val="20"/>
          <w:szCs w:val="20"/>
        </w:rPr>
        <w:t xml:space="preserve">LINGUISTIC SANITIZATION</w:t>
      </w:r>
    </w:p>
    <w:p>
      <w:pPr>
        <w:spacing w:after="100" w:before="100"/>
        <w:jc w:val="left"/>
      </w:pPr>
      <w:r>
        <w:rPr>
          <w:rFonts w:ascii="Arial" w:cs="Arial" w:eastAsia="Arial" w:hAnsi="Arial"/>
          <w:b w:val="false"/>
          <w:bCs w:val="false"/>
          <w:i w:val="false"/>
          <w:iCs w:val="false"/>
          <w:color w:val="1A1A1A"/>
          <w:sz w:val="20"/>
          <w:szCs w:val="20"/>
        </w:rPr>
        <w:t xml:space="preserve">Use of vague, neutral terms such as unprofessional, difficult, or disruptive to describe conduct, particularly when those terms are applied inconsistently to members of protected classes. The Adjective Alert (see Section 6) is the primary investigative tool for identifying this pattern.</w:t>
      </w:r>
    </w:p>
    <w:p>
      <w:pPr>
        <w:spacing w:after="0" w:before="80"/>
      </w:pPr>
    </w:p>
    <w:p>
      <w:pPr>
        <w:spacing w:after="100" w:before="100"/>
        <w:jc w:val="left"/>
      </w:pPr>
      <w:r>
        <w:rPr>
          <w:rFonts w:ascii="Arial" w:cs="Arial" w:eastAsia="Arial" w:hAnsi="Arial"/>
          <w:b/>
          <w:bCs/>
          <w:i w:val="false"/>
          <w:iCs w:val="false"/>
          <w:color w:val="8B6914"/>
          <w:sz w:val="20"/>
          <w:szCs w:val="20"/>
        </w:rPr>
        <w:t xml:space="preserve">THE HALLUCINATED JUSTIFICATION</w:t>
      </w:r>
    </w:p>
    <w:p>
      <w:pPr>
        <w:spacing w:after="100" w:before="100"/>
        <w:jc w:val="left"/>
      </w:pPr>
      <w:r>
        <w:rPr>
          <w:rFonts w:ascii="Arial" w:cs="Arial" w:eastAsia="Arial" w:hAnsi="Arial"/>
          <w:b w:val="false"/>
          <w:bCs w:val="false"/>
          <w:i w:val="false"/>
          <w:iCs w:val="false"/>
          <w:color w:val="1A1A1A"/>
          <w:sz w:val="20"/>
          <w:szCs w:val="20"/>
        </w:rPr>
        <w:t xml:space="preserve">Automated systems generating plausible-sounding reasons for decisions that are not actually supported by the evidence in the file. These records often satisfy the appearance of documentation without containing any verifiable factual support. Professional wording can create the appearance of support where little documented evidence exists.</w:t>
      </w:r>
    </w:p>
    <w:p>
      <w:pPr>
        <w:spacing w:after="0" w:before="80"/>
      </w:pPr>
    </w:p>
    <w:p>
      <w:pPr>
        <w:spacing w:after="100" w:before="100"/>
        <w:jc w:val="left"/>
      </w:pPr>
      <w:r>
        <w:rPr>
          <w:rFonts w:ascii="Arial" w:cs="Arial" w:eastAsia="Arial" w:hAnsi="Arial"/>
          <w:b/>
          <w:bCs/>
          <w:i w:val="false"/>
          <w:iCs w:val="false"/>
          <w:color w:val="8B6914"/>
          <w:sz w:val="20"/>
          <w:szCs w:val="20"/>
        </w:rPr>
        <w:t xml:space="preserve">NARRATIVE UNIFORMITY</w:t>
      </w:r>
    </w:p>
    <w:p>
      <w:pPr>
        <w:spacing w:after="100" w:before="100"/>
        <w:jc w:val="left"/>
      </w:pPr>
      <w:r>
        <w:rPr>
          <w:rFonts w:ascii="Arial" w:cs="Arial" w:eastAsia="Arial" w:hAnsi="Arial"/>
          <w:b w:val="false"/>
          <w:bCs w:val="false"/>
          <w:i w:val="false"/>
          <w:iCs w:val="false"/>
          <w:color w:val="1A1A1A"/>
          <w:sz w:val="20"/>
          <w:szCs w:val="20"/>
        </w:rPr>
        <w:t xml:space="preserve">Nearly identical phrasing appearing across different departments or cases, which may indicate reliance on templated AI output that masks individual bias or retaliation. Volume does not substitute for content. Multiple records using the same general language about an employee do not add up to evidentiary support.</w:t>
      </w:r>
    </w:p>
    <w:p>
      <w:pPr>
        <w:spacing w:after="0" w:before="80"/>
      </w:pPr>
    </w:p>
    <w:p>
      <w:pPr>
        <w:spacing w:after="100" w:before="100"/>
        <w:jc w:val="left"/>
      </w:pPr>
      <w:r>
        <w:rPr>
          <w:rFonts w:ascii="Arial" w:cs="Arial" w:eastAsia="Arial" w:hAnsi="Arial"/>
          <w:b/>
          <w:bCs/>
          <w:i w:val="false"/>
          <w:iCs w:val="false"/>
          <w:color w:val="8B6914"/>
          <w:sz w:val="20"/>
          <w:szCs w:val="20"/>
        </w:rPr>
        <w:t xml:space="preserve">DOCUMENTATION DRIFT</w:t>
      </w:r>
    </w:p>
    <w:p>
      <w:pPr>
        <w:spacing w:after="100" w:before="100"/>
        <w:jc w:val="left"/>
      </w:pPr>
      <w:r>
        <w:rPr>
          <w:rFonts w:ascii="Arial" w:cs="Arial" w:eastAsia="Arial" w:hAnsi="Arial"/>
          <w:b w:val="false"/>
          <w:bCs w:val="false"/>
          <w:i w:val="false"/>
          <w:iCs w:val="false"/>
          <w:color w:val="1A1A1A"/>
          <w:sz w:val="20"/>
          <w:szCs w:val="20"/>
        </w:rPr>
        <w:t xml:space="preserve">Records that seem adequate when drafted but become difficult to use months or years later. Personnel change. Organizational structures change. The people who could explain a record may no longer be there. A conclusion without documented support is only an impression. That distinction becomes significant when a record is reviewed outside its original context.</w:t>
      </w:r>
    </w:p>
    <w:p>
      <w:pPr>
        <w:spacing w:after="0" w:before="80"/>
      </w:pPr>
    </w:p>
    <w:p>
      <w:pPr>
        <w:spacing w:after="100" w:before="100"/>
        <w:jc w:val="left"/>
      </w:pPr>
      <w:r>
        <w:rPr>
          <w:rFonts w:ascii="Arial" w:cs="Arial" w:eastAsia="Arial" w:hAnsi="Arial"/>
          <w:b/>
          <w:bCs/>
          <w:i w:val="false"/>
          <w:iCs w:val="false"/>
          <w:color w:val="8B6914"/>
          <w:sz w:val="20"/>
          <w:szCs w:val="20"/>
        </w:rPr>
        <w:t xml:space="preserve">DRAFTING VS. ATTESTING</w:t>
      </w:r>
    </w:p>
    <w:p>
      <w:pPr>
        <w:spacing w:after="100" w:before="100"/>
        <w:jc w:val="left"/>
      </w:pPr>
      <w:r>
        <w:rPr>
          <w:rFonts w:ascii="Arial" w:cs="Arial" w:eastAsia="Arial" w:hAnsi="Arial"/>
          <w:b w:val="false"/>
          <w:bCs w:val="false"/>
          <w:i w:val="false"/>
          <w:iCs w:val="false"/>
          <w:color w:val="1A1A1A"/>
          <w:sz w:val="20"/>
          <w:szCs w:val="20"/>
        </w:rPr>
        <w:t xml:space="preserve">An automated tool may assist in drafting. Only a human reviewer can attest that what the record says is accurate and grounded in the source material. When reviewing AI-assisted records, investigators should identify whether human attestation occurred before the record entered the official system. The absence of attestation is itself a Justification Gap.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INVESTIGATOR NOTE</w:t>
            </w:r>
          </w:p>
          <w:p>
            <w:pPr>
              <w:spacing w:after="60" w:before="60"/>
            </w:pPr>
            <w:r>
              <w:rPr>
                <w:rFonts w:ascii="Arial" w:cs="Arial" w:eastAsia="Arial" w:hAnsi="Arial"/>
                <w:i/>
                <w:iCs/>
                <w:color w:val="1A1A1A"/>
                <w:sz w:val="19"/>
                <w:szCs w:val="19"/>
              </w:rPr>
              <w:t xml:space="preserve">AI-generated sentiment such as "the employee seemed uncooperative" or "the employee appeared hostile" must be replaced with or anchored by direct quotes, specific behavioral descriptions, or referenced conduct records before the document enters an official system of record.</w:t>
            </w:r>
          </w:p>
          <w:p>
            <w:pPr>
              <w:spacing w:after="60" w:before="60"/>
            </w:pPr>
            <w:r>
              <w:rPr>
                <w:rFonts w:ascii="Arial" w:cs="Arial" w:eastAsia="Arial" w:hAnsi="Arial"/>
                <w:i/>
                <w:iCs/>
                <w:color w:val="1A1A1A"/>
                <w:sz w:val="19"/>
                <w:szCs w:val="19"/>
              </w:rPr>
              <w:t xml:space="preserve">These issues are frequently identified only after a record has entered an official system, during a subsequent review or proceeding.</w:t>
            </w:r>
          </w:p>
        </w:tc>
      </w:tr>
    </w:tbl>
    <w:p>
      <w:pPr>
        <w:spacing w:after="0" w:before="120"/>
      </w:pPr>
    </w:p>
    <w:p>
      <w:pPr>
        <w:pageBreakBefore/>
      </w:pPr>
    </w:p>
    <w:p>
      <w:pPr>
        <w:spacing w:after="160" w:before="320"/>
      </w:pPr>
      <w:r>
        <w:rPr>
          <w:rFonts w:ascii="Arial" w:cs="Arial" w:eastAsia="Arial" w:hAnsi="Arial"/>
          <w:b/>
          <w:bCs/>
          <w:color w:val="8B6914"/>
          <w:sz w:val="24"/>
          <w:szCs w:val="24"/>
        </w:rPr>
        <w:t xml:space="preserve">| 6. THE ADJECTIVE ALERT</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Adjective Alert is the most operationally immediate tool in the JRS framework. Any evaluative adjective appearing in a record without a corresponding behavioral anchor automatically fails the Documented Reasoning condition. This is not a judgment call: it is a structural deficiency.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ADJECTIVE ALERT</w:t>
            </w:r>
          </w:p>
          <w:p>
            <w:pPr>
              <w:spacing w:after="60" w:before="60"/>
            </w:pPr>
            <w:r>
              <w:rPr>
                <w:rFonts w:ascii="Arial" w:cs="Arial" w:eastAsia="Arial" w:hAnsi="Arial"/>
                <w:i/>
                <w:iCs/>
                <w:color w:val="1A1A1A"/>
                <w:sz w:val="19"/>
                <w:szCs w:val="19"/>
              </w:rPr>
              <w:t xml:space="preserve">If the conclusion loses meaning when the adjective is removed, the record lacks factual anchoring.</w:t>
            </w:r>
          </w:p>
          <w:p>
            <w:pPr>
              <w:spacing w:after="60" w:before="60"/>
            </w:pPr>
            <w:r>
              <w:rPr>
                <w:rFonts w:ascii="Arial" w:cs="Arial" w:eastAsia="Arial" w:hAnsi="Arial"/>
                <w:i/>
                <w:iCs/>
                <w:color w:val="1A1A1A"/>
                <w:sz w:val="19"/>
                <w:szCs w:val="19"/>
              </w:rPr>
              <w:t xml:space="preserve">Evaluative adjectives without a behavioral anchor: difficult, hostile, unprofessional, poor, aggressive, uncooperative, disruptive, negative, difficult.</w:t>
            </w:r>
          </w:p>
          <w:p>
            <w:pPr>
              <w:spacing w:after="60" w:before="60"/>
            </w:pPr>
            <w:r>
              <w:rPr>
                <w:rFonts w:ascii="Arial" w:cs="Arial" w:eastAsia="Arial" w:hAnsi="Arial"/>
                <w:i/>
                <w:iCs/>
                <w:color w:val="1A1A1A"/>
                <w:sz w:val="19"/>
                <w:szCs w:val="19"/>
              </w:rPr>
              <w:t xml:space="preserve">Each adjective requires a fact: what occurred, when, and where. Dates before adjectives. This is one of the most common gaps found in review.</w:t>
            </w:r>
          </w:p>
        </w:tc>
      </w:tr>
    </w:tbl>
    <w:p>
      <w:pPr>
        <w:spacing w:after="0" w:before="120"/>
      </w:pPr>
    </w:p>
    <w:p>
      <w:pPr>
        <w:spacing w:after="100" w:before="100"/>
        <w:jc w:val="left"/>
      </w:pPr>
      <w:r>
        <w:rPr>
          <w:rFonts w:ascii="Arial" w:cs="Arial" w:eastAsia="Arial" w:hAnsi="Arial"/>
          <w:b/>
          <w:bCs/>
          <w:i w:val="false"/>
          <w:iCs w:val="false"/>
          <w:color w:val="8B6914"/>
          <w:sz w:val="20"/>
          <w:szCs w:val="20"/>
        </w:rPr>
        <w:t xml:space="preserve">ADJECTIVE ALERT INTERROGATION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Adjective in Record</w:t>
            </w:r>
          </w:p>
        </w:tc>
        <w:tc>
          <w:tcPr>
            <w:tcW w:type="dxa" w:w="312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Required Behavioral Anchor</w:t>
            </w:r>
          </w:p>
        </w:tc>
        <w:tc>
          <w:tcPr>
            <w:tcW w:type="dxa" w:w="312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Without Anchor: Result</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"Unprofessional conduct"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conduct occurred, on what date, and is it documented?</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Fails Documented Reasoning condition. Justification Gap.</w:t>
            </w:r>
          </w:p>
        </w:tc>
      </w:tr>
      <w:tr>
        <w:tc>
          <w:tcPr>
            <w:tcW w:type="dxa" w:w="252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iCs/>
                <w:color w:val="1A1A1A"/>
                <w:sz w:val="18"/>
                <w:szCs w:val="18"/>
              </w:rPr>
              <w:t xml:space="preserve">"Difficult to work with"</w:t>
            </w:r>
          </w:p>
        </w:tc>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interactions occurred, on what dates? Who observed them?</w:t>
            </w:r>
          </w:p>
        </w:tc>
        <w:tc>
          <w:tcPr>
            <w:tcW w:type="dxa" w:w="324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1A3A1A"/>
                <w:sz w:val="18"/>
                <w:szCs w:val="18"/>
              </w:rPr>
              <w:t xml:space="preserve">Fails Documented Reasoning condition. Justification Gap.</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"Hostile behavior"</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behavior occurred, when, and is there a contemporaneous record?</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Fails Documented Reasoning condition. Justification Gap.</w:t>
            </w:r>
          </w:p>
        </w:tc>
      </w:tr>
      <w:tr>
        <w:tc>
          <w:tcPr>
            <w:tcW w:type="dxa" w:w="252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iCs/>
                <w:color w:val="1A1A1A"/>
                <w:sz w:val="18"/>
                <w:szCs w:val="18"/>
              </w:rPr>
              <w:t xml:space="preserve">"Poor performance"</w:t>
            </w:r>
          </w:p>
        </w:tc>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expectations were unmet? Over what period? What standard applies?</w:t>
            </w:r>
          </w:p>
        </w:tc>
        <w:tc>
          <w:tcPr>
            <w:tcW w:type="dxa" w:w="324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1A3A1A"/>
                <w:sz w:val="18"/>
                <w:szCs w:val="18"/>
              </w:rPr>
              <w:t xml:space="preserve">Fails Documented Reasoning condition. Justification Gap.</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"Negative attitude"</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conduct or statements are being characterized? On what dates?</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Fails Documented Reasoning condition. Justification Gap.</w:t>
            </w:r>
          </w:p>
        </w:tc>
      </w:tr>
    </w:tbl>
    <w:p>
      <w:pPr>
        <w:spacing w:after="0" w:before="120"/>
      </w:pPr>
    </w:p>
    <w:p>
      <w:pPr>
        <w:spacing w:after="160" w:before="320"/>
      </w:pPr>
      <w:r>
        <w:rPr>
          <w:rFonts w:ascii="Arial" w:cs="Arial" w:eastAsia="Arial" w:hAnsi="Arial"/>
          <w:b/>
          <w:bCs/>
          <w:color w:val="8B6914"/>
          <w:sz w:val="24"/>
          <w:szCs w:val="24"/>
        </w:rPr>
        <w:t xml:space="preserve">| 7. INVESTIGATOR PROTOCOL: IDENTIFYING THE JUSTIFICATION GAP</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When a record fails to meet the Justification Review Standard under any of the four conditions, document the deficiency as a Justification Gap. This serves as a clear trigger for additional neutral inquiry and should be noted in the investigative record.</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ROI Interrogation Framework below covers the most common Justification Gap patterns encountered in civil rights and employment investigations, including AI-assisted records.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240"/>
      </w:tblGrid>
      <w:tr>
        <w:tc>
          <w:tcPr>
            <w:tcW w:type="dxa" w:w="252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Record Statement</w:t>
            </w:r>
          </w:p>
        </w:tc>
        <w:tc>
          <w:tcPr>
            <w:tcW w:type="dxa" w:w="360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JRS Inquiry (Traceability Check)</w:t>
            </w:r>
          </w:p>
        </w:tc>
        <w:tc>
          <w:tcPr>
            <w:tcW w:type="dxa" w:w="324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Supported Revision</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The employee demonstrated a pattern of unprofessional conduct.</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documented conduct occurred, and on what dates? Who observed it? What record supports this characterization?</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Employee interrupted client meetings on April 4 and April 11 despite prior written instruction. Incident report April 12 on file.</w:t>
            </w:r>
          </w:p>
        </w:tc>
      </w:tr>
      <w:tr>
        <w:tc>
          <w:tcPr>
            <w:tcW w:type="dxa" w:w="252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iCs/>
                <w:color w:val="1A1A1A"/>
                <w:sz w:val="18"/>
                <w:szCs w:val="18"/>
              </w:rPr>
              <w:t xml:space="preserve">Performance was consistently below the expected standard.</w:t>
            </w:r>
          </w:p>
        </w:tc>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expectations were unmet, over what period? What coaching or prior warnings are on file?</w:t>
            </w:r>
          </w:p>
        </w:tc>
        <w:tc>
          <w:tcPr>
            <w:tcW w:type="dxa" w:w="324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1A3A1A"/>
                <w:sz w:val="18"/>
                <w:szCs w:val="18"/>
              </w:rPr>
              <w:t xml:space="preserve">Employee missed project deadlines Jan 20, Feb 17, Mar 1 against performance plan established Jan 5. Check-in notes on file.</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This situation has become a serious performance concern.</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documented events support this escalation? What prior counseling records exist? What threshold triggered escalation?</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Following three documented counseling sessions (Feb 3, Feb 17, Mar 3), error rate remains above documented threshold. Escalation to formal PIP per HR protocol. See counseling records on file.</w:t>
            </w:r>
          </w:p>
        </w:tc>
      </w:tr>
      <w:tr>
        <w:tc>
          <w:tcPr>
            <w:tcW w:type="dxa" w:w="252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iCs/>
                <w:color w:val="1A1A1A"/>
                <w:sz w:val="18"/>
                <w:szCs w:val="18"/>
              </w:rPr>
              <w:t xml:space="preserve">Employee has consistently undermined team morale.</w:t>
            </w:r>
          </w:p>
        </w:tc>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specific conduct occurred, on what dates, and is it documented? What record exists beyond the characterization itself?</w:t>
            </w:r>
          </w:p>
        </w:tc>
        <w:tc>
          <w:tcPr>
            <w:tcW w:type="dxa" w:w="324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i w:val="false"/>
                <w:iCs w:val="false"/>
                <w:color w:val="1A3A1A"/>
                <w:sz w:val="18"/>
                <w:szCs w:val="18"/>
              </w:rPr>
              <w:t xml:space="preserve">Employee declined to participate in team planning sessions March 7 and March 14 without stated reason. Two colleagues submitted written notes March 14 referencing project coordination impact. Notes on file.</w:t>
            </w:r>
          </w:p>
        </w:tc>
      </w:tr>
      <w:tr>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iCs/>
                <w:color w:val="1A1A1A"/>
                <w:sz w:val="18"/>
                <w:szCs w:val="18"/>
              </w:rPr>
              <w:t xml:space="preserve">AI summary: Employee is difficult to work with.</w:t>
            </w:r>
          </w:p>
        </w:tc>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555555"/>
                <w:sz w:val="18"/>
                <w:szCs w:val="18"/>
              </w:rPr>
              <w:t xml:space="preserve">What source records were reviewed? Are the underlying interactions identifiable? Was human review completed and documented?</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i w:val="false"/>
                <w:iCs w:val="false"/>
                <w:color w:val="1A3A1A"/>
                <w:sz w:val="18"/>
                <w:szCs w:val="18"/>
              </w:rPr>
              <w:t xml:space="preserve">Summary reviewed against meeting notes March 4, 11, and 18. No unverified sentiment introduced. Human review completed March 19 prior to finalization, confirmed against original notes.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COMMON PATTERN</w:t>
            </w:r>
          </w:p>
          <w:p>
            <w:pPr>
              <w:spacing w:after="60" w:before="60"/>
            </w:pPr>
            <w:r>
              <w:rPr>
                <w:rFonts w:ascii="Arial" w:cs="Arial" w:eastAsia="Arial" w:hAnsi="Arial"/>
                <w:i/>
                <w:iCs/>
                <w:color w:val="1A1A1A"/>
                <w:sz w:val="19"/>
                <w:szCs w:val="19"/>
              </w:rPr>
              <w:t xml:space="preserve">Most escalation files fail at the timeline level. Conduct is described. Dates are not. Without dates, the pattern cannot be independently established.</w:t>
            </w:r>
          </w:p>
          <w:p>
            <w:pPr>
              <w:spacing w:after="60" w:before="60"/>
            </w:pPr>
            <w:r>
              <w:rPr>
                <w:rFonts w:ascii="Arial" w:cs="Arial" w:eastAsia="Arial" w:hAnsi="Arial"/>
                <w:i/>
                <w:iCs/>
                <w:color w:val="1A1A1A"/>
                <w:sz w:val="19"/>
                <w:szCs w:val="19"/>
              </w:rPr>
              <w:t xml:space="preserve">When reviewing AI-assisted summaries: the summary may sound more certain than the notes actually support. AI-assisted wording can intensify conclusions or smooth over gaps that were present in the source material.</w:t>
            </w:r>
          </w:p>
        </w:tc>
      </w:tr>
    </w:tbl>
    <w:p>
      <w:pPr>
        <w:spacing w:after="0" w:before="120"/>
      </w:pPr>
    </w:p>
    <w:p>
      <w:pPr>
        <w:pageBreakBefore/>
      </w:pPr>
    </w:p>
    <w:p>
      <w:pPr>
        <w:spacing w:after="160" w:before="320"/>
      </w:pPr>
      <w:r>
        <w:rPr>
          <w:rFonts w:ascii="Arial" w:cs="Arial" w:eastAsia="Arial" w:hAnsi="Arial"/>
          <w:b/>
          <w:bCs/>
          <w:color w:val="8B6914"/>
          <w:sz w:val="24"/>
          <w:szCs w:val="24"/>
        </w:rPr>
        <w:t xml:space="preserve">| 8. SUBMISSION READINESS: STOP / REVIEW / READY</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Before any record enters an official system of record or is relied upon in formal proceedings, apply the Submission Readiness Check. Each question is pass or fail at the record level.</w:t>
      </w:r>
    </w:p>
    <w:p>
      <w:pPr>
        <w:spacing w:after="0" w:before="100"/>
      </w:pPr>
    </w:p>
    <w:p>
      <w:pPr>
        <w:spacing w:after="100" w:before="100"/>
        <w:jc w:val="left"/>
      </w:pPr>
      <w:r>
        <w:rPr>
          <w:rFonts w:ascii="Arial" w:cs="Arial" w:eastAsia="Arial" w:hAnsi="Arial"/>
          <w:b/>
          <w:bCs/>
          <w:i w:val="false"/>
          <w:iCs w:val="false"/>
          <w:color w:val="8B6914"/>
          <w:sz w:val="20"/>
          <w:szCs w:val="20"/>
        </w:rPr>
        <w:t xml:space="preserve">BEFORE FINALIZATION, ASK:</w:t>
      </w:r>
    </w:p>
    <w:p>
      <w:pPr>
        <w:spacing w:after="0" w:before="80"/>
      </w:pPr>
    </w:p>
    <w:p>
      <w:pPr>
        <w:pStyle w:val="ListParagraph"/>
        <w:numPr>
          <w:ilvl w:val="0"/>
          <w:numId w:val="2"/>
        </w:numPr>
        <w:spacing w:after="60" w:before="60"/>
      </w:pPr>
      <w:r>
        <w:rPr>
          <w:rFonts w:ascii="Arial" w:cs="Arial" w:eastAsia="Arial" w:hAnsi="Arial"/>
          <w:color w:val="1A1A1A"/>
          <w:sz w:val="20"/>
          <w:szCs w:val="20"/>
        </w:rPr>
        <w:t xml:space="preserve">Can this record stand on its own? Would a stranger understand the conclusion without calling the author?</w:t>
      </w:r>
    </w:p>
    <w:p>
      <w:pPr>
        <w:pStyle w:val="ListParagraph"/>
        <w:numPr>
          <w:ilvl w:val="0"/>
          <w:numId w:val="2"/>
        </w:numPr>
        <w:spacing w:after="60" w:before="60"/>
      </w:pPr>
      <w:r>
        <w:rPr>
          <w:rFonts w:ascii="Arial" w:cs="Arial" w:eastAsia="Arial" w:hAnsi="Arial"/>
          <w:color w:val="1A1A1A"/>
          <w:sz w:val="20"/>
          <w:szCs w:val="20"/>
        </w:rPr>
        <w:t xml:space="preserve">What specific evidence anchors this conclusion? A date, log entry, documented interaction, or referenced record.</w:t>
      </w:r>
    </w:p>
    <w:p>
      <w:pPr>
        <w:pStyle w:val="ListParagraph"/>
        <w:numPr>
          <w:ilvl w:val="0"/>
          <w:numId w:val="2"/>
        </w:numPr>
        <w:spacing w:after="60" w:before="60"/>
      </w:pPr>
      <w:r>
        <w:rPr>
          <w:rFonts w:ascii="Arial" w:cs="Arial" w:eastAsia="Arial" w:hAnsi="Arial"/>
          <w:color w:val="1A1A1A"/>
          <w:sz w:val="20"/>
          <w:szCs w:val="20"/>
        </w:rPr>
        <w:t xml:space="preserve">Is the path from evidence to conclusion visible in the record? Not in the author's memory. In the document.</w:t>
      </w:r>
    </w:p>
    <w:p>
      <w:pPr>
        <w:pStyle w:val="ListParagraph"/>
        <w:numPr>
          <w:ilvl w:val="0"/>
          <w:numId w:val="2"/>
        </w:numPr>
        <w:spacing w:after="60" w:before="60"/>
      </w:pPr>
      <w:r>
        <w:rPr>
          <w:rFonts w:ascii="Arial" w:cs="Arial" w:eastAsia="Arial" w:hAnsi="Arial"/>
          <w:color w:val="1A1A1A"/>
          <w:sz w:val="20"/>
          <w:szCs w:val="20"/>
        </w:rPr>
        <w:t xml:space="preserve">Are dates, interactions, and policies identifiable? Each conclusion requires a traceable anchor.</w:t>
      </w:r>
    </w:p>
    <w:p>
      <w:pPr>
        <w:pStyle w:val="ListParagraph"/>
        <w:numPr>
          <w:ilvl w:val="0"/>
          <w:numId w:val="2"/>
        </w:numPr>
        <w:spacing w:after="60" w:before="60"/>
      </w:pPr>
      <w:r>
        <w:rPr>
          <w:rFonts w:ascii="Arial" w:cs="Arial" w:eastAsia="Arial" w:hAnsi="Arial"/>
          <w:color w:val="1A1A1A"/>
          <w:sz w:val="20"/>
          <w:szCs w:val="20"/>
        </w:rPr>
        <w:t xml:space="preserve">Would a later reviewer follow the same reasoning? Without access to context that exists only in the author's knowledge.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thick" w:color="8B0000" w:sz="14"/>
              <w:bottom w:val="single" w:color="8B0000" w:sz="4"/>
              <w:right w:val="single" w:color="8B0000" w:sz="4"/>
            </w:tcBorders>
            <w:shd w:fill="F5E6E6" w:val="clear"/>
            <w:tcMar>
              <w:top w:type="dxa" w:w="100"/>
              <w:left w:type="dxa" w:w="200"/>
              <w:bottom w:type="dxa" w:w="100"/>
              <w:right w:type="dxa" w:w="200"/>
            </w:tcMar>
          </w:tcPr>
          <w:p>
            <w:pPr>
              <w:spacing w:after="60" w:before="0"/>
            </w:pPr>
            <w:r>
              <w:rPr>
                <w:rFonts w:ascii="Arial" w:cs="Arial" w:eastAsia="Arial" w:hAnsi="Arial"/>
                <w:b/>
                <w:bCs/>
                <w:caps/>
                <w:color w:val="8B0000"/>
                <w:sz w:val="22"/>
                <w:szCs w:val="22"/>
              </w:rPr>
              <w:t xml:space="preserve">STOP  </w:t>
            </w:r>
            <w:r>
              <w:rPr>
                <w:rFonts w:ascii="Arial" w:cs="Arial" w:eastAsia="Arial" w:hAnsi="Arial"/>
                <w:b/>
                <w:bCs/>
                <w:color w:val="1A1A1A"/>
                <w:sz w:val="20"/>
                <w:szCs w:val="20"/>
              </w:rPr>
              <w:t xml:space="preserve">Adjective without anchor. Conclusion unsupported.</w:t>
            </w:r>
          </w:p>
          <w:p>
            <w:pPr>
              <w:spacing w:after="0" w:before="0"/>
            </w:pPr>
            <w:r>
              <w:rPr>
                <w:rFonts w:ascii="Arial" w:cs="Arial" w:eastAsia="Arial" w:hAnsi="Arial"/>
                <w:color w:val="444444"/>
                <w:sz w:val="19"/>
                <w:szCs w:val="19"/>
              </w:rPr>
              <w:t xml:space="preserve">Evaluative adjectives appear without a Fact Anchor. Timeline or policy basis is absent. The conclusion lacks independent support. Do not submit. Return to drafter for behavioral anchoring before the record enters the system.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4"/>
              <w:left w:val="thick" w:color="7A5C00" w:sz="14"/>
              <w:bottom w:val="single" w:color="7A5C00" w:sz="4"/>
              <w:right w:val="single" w:color="7A5C00" w:sz="4"/>
            </w:tcBorders>
            <w:shd w:fill="FFF8E1" w:val="clear"/>
            <w:tcMar>
              <w:top w:type="dxa" w:w="100"/>
              <w:left w:type="dxa" w:w="200"/>
              <w:bottom w:type="dxa" w:w="100"/>
              <w:right w:type="dxa" w:w="200"/>
            </w:tcMar>
          </w:tcPr>
          <w:p>
            <w:pPr>
              <w:spacing w:after="60" w:before="0"/>
            </w:pPr>
            <w:r>
              <w:rPr>
                <w:rFonts w:ascii="Arial" w:cs="Arial" w:eastAsia="Arial" w:hAnsi="Arial"/>
                <w:b/>
                <w:bCs/>
                <w:caps/>
                <w:color w:val="7A5C00"/>
                <w:sz w:val="22"/>
                <w:szCs w:val="22"/>
              </w:rPr>
              <w:t xml:space="preserve">REVIEW REQUIRED  </w:t>
            </w:r>
            <w:r>
              <w:rPr>
                <w:rFonts w:ascii="Arial" w:cs="Arial" w:eastAsia="Arial" w:hAnsi="Arial"/>
                <w:b/>
                <w:bCs/>
                <w:color w:val="1A1A1A"/>
                <w:sz w:val="20"/>
                <w:szCs w:val="20"/>
              </w:rPr>
              <w:t xml:space="preserve">Conclusion likely accurate but relies on context not in the record.</w:t>
            </w:r>
          </w:p>
          <w:p>
            <w:pPr>
              <w:spacing w:after="0" w:before="0"/>
            </w:pPr>
            <w:r>
              <w:rPr>
                <w:rFonts w:ascii="Arial" w:cs="Arial" w:eastAsia="Arial" w:hAnsi="Arial"/>
                <w:color w:val="444444"/>
                <w:sz w:val="19"/>
                <w:szCs w:val="19"/>
              </w:rPr>
              <w:t xml:space="preserve">Conclusion is likely accurate but the supporting basis is not in the record. It may rely on unwritten context or assumptions the reviewer knows but has not documented. Clarification or additional anchoring is needed. A later reviewer cannot verify what is not written down.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4"/>
              <w:left w:val="thick" w:color="1A4A1A" w:sz="14"/>
              <w:bottom w:val="single" w:color="1A4A1A" w:sz="4"/>
              <w:right w:val="single" w:color="1A4A1A" w:sz="4"/>
            </w:tcBorders>
            <w:shd w:fill="E8F5E8" w:val="clear"/>
            <w:tcMar>
              <w:top w:type="dxa" w:w="100"/>
              <w:left w:type="dxa" w:w="200"/>
              <w:bottom w:type="dxa" w:w="100"/>
              <w:right w:type="dxa" w:w="200"/>
            </w:tcMar>
          </w:tcPr>
          <w:p>
            <w:pPr>
              <w:spacing w:after="60" w:before="0"/>
            </w:pPr>
            <w:r>
              <w:rPr>
                <w:rFonts w:ascii="Arial" w:cs="Arial" w:eastAsia="Arial" w:hAnsi="Arial"/>
                <w:b/>
                <w:bCs/>
                <w:caps/>
                <w:color w:val="1A4A1A"/>
                <w:sz w:val="22"/>
                <w:szCs w:val="22"/>
              </w:rPr>
              <w:t xml:space="preserve">READY  </w:t>
            </w:r>
            <w:r>
              <w:rPr>
                <w:rFonts w:ascii="Arial" w:cs="Arial" w:eastAsia="Arial" w:hAnsi="Arial"/>
                <w:b/>
                <w:bCs/>
                <w:color w:val="1A1A1A"/>
                <w:sz w:val="20"/>
                <w:szCs w:val="20"/>
              </w:rPr>
              <w:t xml:space="preserve">Self-contained. Anchored to specific evidence.</w:t>
            </w:r>
          </w:p>
          <w:p>
            <w:pPr>
              <w:spacing w:after="0" w:before="0"/>
            </w:pPr>
            <w:r>
              <w:rPr>
                <w:rFonts w:ascii="Arial" w:cs="Arial" w:eastAsia="Arial" w:hAnsi="Arial"/>
                <w:color w:val="444444"/>
                <w:sz w:val="19"/>
                <w:szCs w:val="19"/>
              </w:rPr>
              <w:t xml:space="preserve">Record is self-contained. The supporting evidence is identifiable, the reasoning is visible in the file, and the basis holds up without explanation from the author. Reviewable from the record alone.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thick" w:color="8B6914" w:sz="12"/>
              <w:bottom w:val="single" w:color="8B6914" w:sz="4"/>
              <w:right w:val="single" w:color="8B6914" w:sz="4"/>
            </w:tcBorders>
            <w:shd w:fill="F9F6EF" w:val="clear"/>
            <w:tcMar>
              <w:top w:type="dxa" w:w="120"/>
              <w:left w:type="dxa" w:w="200"/>
              <w:bottom w:type="dxa" w:w="120"/>
              <w:right w:type="dxa" w:w="200"/>
            </w:tcMar>
          </w:tcPr>
          <w:p>
            <w:pPr>
              <w:spacing w:after="80" w:before="80"/>
            </w:pPr>
            <w:r>
              <w:rPr>
                <w:rFonts w:ascii="Arial" w:cs="Arial" w:eastAsia="Arial" w:hAnsi="Arial"/>
                <w:b/>
                <w:bCs/>
                <w:caps/>
                <w:color w:val="8B6914"/>
                <w:sz w:val="18"/>
                <w:szCs w:val="18"/>
              </w:rPr>
              <w:t xml:space="preserve">DO NOT ASSUME</w:t>
            </w:r>
          </w:p>
          <w:p>
            <w:pPr>
              <w:spacing w:after="60" w:before="60"/>
            </w:pPr>
            <w:r>
              <w:rPr>
                <w:rFonts w:ascii="Arial" w:cs="Arial" w:eastAsia="Arial" w:hAnsi="Arial"/>
                <w:i/>
                <w:iCs/>
                <w:color w:val="1A1A1A"/>
                <w:sz w:val="19"/>
                <w:szCs w:val="19"/>
              </w:rPr>
              <w:t xml:space="preserve">A record that reads smoothly is not necessarily a record that is supported. Reviewers often assume the context will be obvious later. It frequently is not.</w:t>
            </w:r>
          </w:p>
          <w:p>
            <w:pPr>
              <w:spacing w:after="60" w:before="60"/>
            </w:pPr>
            <w:r>
              <w:rPr>
                <w:rFonts w:ascii="Arial" w:cs="Arial" w:eastAsia="Arial" w:hAnsi="Arial"/>
                <w:i/>
                <w:iCs/>
                <w:color w:val="1A1A1A"/>
                <w:sz w:val="19"/>
                <w:szCs w:val="19"/>
              </w:rPr>
              <w:t xml:space="preserve">If the reviewer has to guess at what the record means, it is not ready.</w:t>
            </w:r>
          </w:p>
        </w:tc>
      </w:tr>
    </w:tbl>
    <w:p>
      <w:pPr>
        <w:spacing w:after="0" w:before="120"/>
      </w:pPr>
    </w:p>
    <w:p>
      <w:pPr>
        <w:spacing w:after="160" w:before="320"/>
      </w:pPr>
      <w:r>
        <w:rPr>
          <w:rFonts w:ascii="Arial" w:cs="Arial" w:eastAsia="Arial" w:hAnsi="Arial"/>
          <w:b/>
          <w:bCs/>
          <w:color w:val="8B6914"/>
          <w:sz w:val="24"/>
          <w:szCs w:val="24"/>
        </w:rPr>
        <w:t xml:space="preserve">| 9. VERIFICATION ATTESTATION FOR AI-ASSISTED RECORDS</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When an AI-assisted draft contributes materially to a record entering an official system, human attestation is required. The attestation confirms that the reviewer has verified the wording against source material and that no unverified characterizations have been introduced.</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Drafting vs. Attesting: an automated tool may assist in drafting. Only a human reviewer can attest to the accuracy, completeness, and sufficiency of the final record. That attestation must confirm that AI-assisted wording does not introduce unverified characterizations not present in the original source material.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6"/>
              <w:bottom w:val="single" w:color="8B6914" w:sz="6"/>
              <w:right w:val="single" w:color="8B6914" w:sz="6"/>
            </w:tcBorders>
            <w:shd w:fill="F5F0E8" w:val="clear"/>
            <w:tcMar>
              <w:top w:type="dxa" w:w="160"/>
              <w:left w:type="dxa" w:w="240"/>
              <w:bottom w:type="dxa" w:w="160"/>
              <w:right w:type="dxa" w:w="240"/>
            </w:tcMar>
          </w:tcPr>
          <w:p>
            <w:pPr>
              <w:spacing w:after="100" w:before="0"/>
            </w:pPr>
            <w:r>
              <w:rPr>
                <w:rFonts w:ascii="Arial" w:cs="Arial" w:eastAsia="Arial" w:hAnsi="Arial"/>
                <w:b/>
                <w:bCs/>
                <w:caps/>
                <w:color w:val="8B6914"/>
                <w:sz w:val="20"/>
                <w:szCs w:val="20"/>
              </w:rPr>
              <w:t xml:space="preserve">VERIFICATION ATTESTATION</w:t>
            </w:r>
          </w:p>
          <w:p>
            <w:pPr>
              <w:spacing w:after="80" w:before="0"/>
            </w:pPr>
            <w:r>
              <w:rPr>
                <w:rFonts w:ascii="Arial" w:cs="Arial" w:eastAsia="Arial" w:hAnsi="Arial"/>
                <w:i/>
                <w:iCs/>
                <w:color w:val="1A1A1A"/>
                <w:sz w:val="19"/>
                <w:szCs w:val="19"/>
              </w:rPr>
              <w:t xml:space="preserve">I have reviewed this AI-assisted draft against my original notes and source records. It accurately reflects the documented interactions. No unverified characterizations or sentiment has been introduced that was not in the original material. I am attesting to its accuracy as the reviewer of record.</w:t>
            </w:r>
          </w:p>
          <w:p>
            <w:pPr>
              <w:spacing w:after="80" w:before="60"/>
            </w:pPr>
            <w:r>
              <w:rPr>
                <w:rFonts w:ascii="Arial" w:cs="Arial" w:eastAsia="Arial" w:hAnsi="Arial"/>
                <w:b/>
                <w:bCs/>
                <w:color w:val="1A1A1A"/>
                <w:sz w:val="19"/>
                <w:szCs w:val="19"/>
              </w:rPr>
              <w:t xml:space="preserve">The Conflict Check: </w:t>
            </w:r>
            <w:r>
              <w:rPr>
                <w:rFonts w:ascii="Arial" w:cs="Arial" w:eastAsia="Arial" w:hAnsi="Arial"/>
                <w:i/>
                <w:iCs/>
                <w:color w:val="1A1A1A"/>
                <w:sz w:val="19"/>
                <w:szCs w:val="19"/>
              </w:rPr>
              <w:t xml:space="preserve">This draft has not obscured material disagreements or conflicting evidence present in the source notes. Where source material contained contested or incomplete information, that is reflected here rather than smoothed over.</w:t>
            </w:r>
          </w:p>
          <w:p>
            <w:pPr>
              <w:spacing w:after="0" w:before="120"/>
            </w:pPr>
            <w:r>
              <w:rPr>
                <w:rFonts w:ascii="Arial" w:cs="Arial" w:eastAsia="Arial" w:hAnsi="Arial"/>
                <w:color w:val="1A1A1A"/>
                <w:sz w:val="19"/>
                <w:szCs w:val="19"/>
              </w:rPr>
              <w:t xml:space="preserve">Reviewer: _________________________________     Date: _______________</w:t>
            </w:r>
          </w:p>
        </w:tc>
      </w:tr>
    </w:tbl>
    <w:p>
      <w:pPr>
        <w:spacing w:after="0" w:before="120"/>
      </w:pPr>
    </w:p>
    <w:p>
      <w:pPr>
        <w:spacing w:after="100" w:before="100"/>
        <w:jc w:val="left"/>
      </w:pPr>
      <w:r>
        <w:rPr>
          <w:rFonts w:ascii="Arial" w:cs="Arial" w:eastAsia="Arial" w:hAnsi="Arial"/>
          <w:b/>
          <w:bCs/>
          <w:i w:val="false"/>
          <w:iCs w:val="false"/>
          <w:color w:val="8B6914"/>
          <w:sz w:val="20"/>
          <w:szCs w:val="20"/>
        </w:rPr>
        <w:t xml:space="preserve">ESCALATION INDICATORS FOR AI-ASSISTED RECORDS</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following conditions require secondary review before the record is finalized when AI-assisted drafting has contributed:</w:t>
      </w:r>
    </w:p>
    <w:p>
      <w:pPr>
        <w:spacing w:after="0" w:before="80"/>
      </w:pPr>
    </w:p>
    <w:p>
      <w:pPr>
        <w:pStyle w:val="ListParagraph"/>
        <w:numPr>
          <w:ilvl w:val="0"/>
          <w:numId w:val="3"/>
        </w:numPr>
        <w:spacing w:after="60" w:before="60"/>
      </w:pPr>
      <w:r>
        <w:rPr>
          <w:rFonts w:ascii="Arial" w:cs="Arial" w:eastAsia="Arial" w:hAnsi="Arial"/>
          <w:color w:val="1A1A1A"/>
          <w:sz w:val="20"/>
          <w:szCs w:val="20"/>
        </w:rPr>
        <w:t xml:space="preserve">Evaluative language without observable behavioral anchors</w:t>
      </w:r>
    </w:p>
    <w:p>
      <w:pPr>
        <w:pStyle w:val="ListParagraph"/>
        <w:numPr>
          <w:ilvl w:val="0"/>
          <w:numId w:val="3"/>
        </w:numPr>
        <w:spacing w:after="60" w:before="60"/>
      </w:pPr>
      <w:r>
        <w:rPr>
          <w:rFonts w:ascii="Arial" w:cs="Arial" w:eastAsia="Arial" w:hAnsi="Arial"/>
          <w:color w:val="1A1A1A"/>
          <w:sz w:val="20"/>
          <w:szCs w:val="20"/>
        </w:rPr>
        <w:t xml:space="preserve">Missing source records for substantive conclusions</w:t>
      </w:r>
    </w:p>
    <w:p>
      <w:pPr>
        <w:pStyle w:val="ListParagraph"/>
        <w:numPr>
          <w:ilvl w:val="0"/>
          <w:numId w:val="3"/>
        </w:numPr>
        <w:spacing w:after="60" w:before="60"/>
      </w:pPr>
      <w:r>
        <w:rPr>
          <w:rFonts w:ascii="Arial" w:cs="Arial" w:eastAsia="Arial" w:hAnsi="Arial"/>
          <w:color w:val="1A1A1A"/>
          <w:sz w:val="20"/>
          <w:szCs w:val="20"/>
        </w:rPr>
        <w:t xml:space="preserve">Automated summarization without documented human review</w:t>
      </w:r>
    </w:p>
    <w:p>
      <w:pPr>
        <w:pStyle w:val="ListParagraph"/>
        <w:numPr>
          <w:ilvl w:val="0"/>
          <w:numId w:val="3"/>
        </w:numPr>
        <w:spacing w:after="60" w:before="60"/>
      </w:pPr>
      <w:r>
        <w:rPr>
          <w:rFonts w:ascii="Arial" w:cs="Arial" w:eastAsia="Arial" w:hAnsi="Arial"/>
          <w:color w:val="1A1A1A"/>
          <w:sz w:val="20"/>
          <w:szCs w:val="20"/>
        </w:rPr>
        <w:t xml:space="preserve">Disciplinary conclusions without referenced conduct</w:t>
      </w:r>
    </w:p>
    <w:p>
      <w:pPr>
        <w:pStyle w:val="ListParagraph"/>
        <w:numPr>
          <w:ilvl w:val="0"/>
          <w:numId w:val="3"/>
        </w:numPr>
        <w:spacing w:after="60" w:before="60"/>
      </w:pPr>
      <w:r>
        <w:rPr>
          <w:rFonts w:ascii="Arial" w:cs="Arial" w:eastAsia="Arial" w:hAnsi="Arial"/>
          <w:color w:val="1A1A1A"/>
          <w:sz w:val="20"/>
          <w:szCs w:val="20"/>
        </w:rPr>
        <w:t xml:space="preserve">Termination documentation with insufficient factual grounding</w:t>
      </w:r>
    </w:p>
    <w:p>
      <w:pPr>
        <w:pStyle w:val="ListParagraph"/>
        <w:numPr>
          <w:ilvl w:val="0"/>
          <w:numId w:val="3"/>
        </w:numPr>
        <w:spacing w:after="60" w:before="60"/>
      </w:pPr>
      <w:r>
        <w:rPr>
          <w:rFonts w:ascii="Arial" w:cs="Arial" w:eastAsia="Arial" w:hAnsi="Arial"/>
          <w:color w:val="1A1A1A"/>
          <w:sz w:val="20"/>
          <w:szCs w:val="20"/>
        </w:rPr>
        <w:t xml:space="preserve">Sentiment characterizations not traceable to direct quotes or referenced conduct records</w:t>
      </w:r>
    </w:p>
    <w:p>
      <w:pPr>
        <w:spacing w:after="0" w:before="80"/>
      </w:pPr>
    </w:p>
    <w:p>
      <w:pPr>
        <w:spacing w:after="80" w:before="80"/>
      </w:pPr>
      <w:r>
        <w:rPr>
          <w:rFonts w:ascii="Arial" w:cs="Arial" w:eastAsia="Arial" w:hAnsi="Arial"/>
          <w:i/>
          <w:iCs/>
          <w:color w:val="555555"/>
          <w:sz w:val="18"/>
          <w:szCs w:val="18"/>
        </w:rPr>
        <w:t xml:space="preserve">Secondary review cannot repair unsupported drafting. Records that reach escalation without a traceable basis present the most significant review exposure.</w:t>
      </w:r>
    </w:p>
    <w:p>
      <w:pPr>
        <w:spacing w:after="0" w:before="120"/>
      </w:pPr>
    </w:p>
    <w:p>
      <w:pPr>
        <w:pageBreakBefore/>
      </w:pPr>
    </w:p>
    <w:p>
      <w:pPr>
        <w:spacing w:after="160" w:before="320"/>
      </w:pPr>
      <w:r>
        <w:rPr>
          <w:rFonts w:ascii="Arial" w:cs="Arial" w:eastAsia="Arial" w:hAnsi="Arial"/>
          <w:b/>
          <w:bCs/>
          <w:color w:val="8B6914"/>
          <w:sz w:val="24"/>
          <w:szCs w:val="24"/>
        </w:rPr>
        <w:t xml:space="preserve">| 10. ADMINISTRATIVE INTEGRITY AND NEUTRALITY</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The Justification Review Standard focuses attention on the strength of the evidence rather than the quality of the writing. This approach strengthens the overall administrative record and operates independently of organizational intent, legal liability, or substantive employment outcome.</w:t>
      </w: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A record is JRS-compliant when the supporting basis is clearly present in the file, regardless of whether a secondary reviewer agrees with the substantive outcome. Compliance reflects process quality, not decision correctness.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AUDIENCE</w:t>
            </w:r>
          </w:p>
        </w:tc>
        <w:tc>
          <w:tcPr>
            <w:tcW w:type="dxa" w:w="696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FUNCTION OF THE JRS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Investigators</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Provides a consistent, neutral framework for identifying documentation weaknesses. Reduces remands for insufficient evidence.</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Protected Classes</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Helps prevent polished language from becoming a barrier to uncovering disparate treatment. Ensures the record can be read on its merits.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Fact-Finders</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Offers an objective method for evaluating whether a justification is legitimate and non-discriminatory, without requiring supplementary explanation.</w:t>
            </w:r>
          </w:p>
        </w:tc>
      </w:tr>
      <w:tr>
        <w:tc>
          <w:tcPr>
            <w:tcW w:type="dxa" w:w="220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b/>
                <w:bCs/>
                <w:color w:val="8B6914"/>
                <w:sz w:val="19"/>
                <w:szCs w:val="19"/>
              </w:rPr>
              <w:t xml:space="preserve">HR and Compliance</w:t>
            </w:r>
          </w:p>
        </w:tc>
        <w:tc>
          <w:tcPr>
            <w:tcW w:type="dxa" w:w="7160"/>
            <w:tcBorders>
              <w:top w:val="single" w:color="DDDDDD" w:sz="2"/>
              <w:left w:val="single" w:color="DDDDDD" w:sz="2"/>
              <w:bottom w:val="single" w:color="DDDDDD" w:sz="2"/>
              <w:right w:val="single" w:color="DDDDDD" w:sz="2"/>
            </w:tcBorders>
            <w:shd w:fill="F7F4EE" w:val="clear"/>
            <w:tcMar>
              <w:top w:type="dxa" w:w="80"/>
              <w:left w:type="dxa" w:w="120"/>
              <w:bottom w:type="dxa" w:w="80"/>
              <w:right w:type="dxa" w:w="120"/>
            </w:tcMar>
          </w:tcPr>
          <w:p>
            <w:r>
              <w:rPr>
                <w:rFonts w:ascii="Arial" w:cs="Arial" w:eastAsia="Arial" w:hAnsi="Arial"/>
                <w:color w:val="1A1A1A"/>
                <w:sz w:val="19"/>
                <w:szCs w:val="19"/>
              </w:rPr>
              <w:t xml:space="preserve">Identifies documentation gaps before records enter official systems, reducing downstream litigation exposure.</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Audit Personnel</w:t>
            </w:r>
          </w:p>
        </w:tc>
        <w:tc>
          <w:tcPr>
            <w:tcW w:type="dxa" w:w="71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1A1A1A"/>
                <w:sz w:val="19"/>
                <w:szCs w:val="19"/>
              </w:rPr>
              <w:t xml:space="preserve">Provides a consistent sampling standard for assessing documentation quality across departments and record types.</w:t>
            </w:r>
          </w:p>
        </w:tc>
      </w:tr>
    </w:tbl>
    <w:p>
      <w:pPr>
        <w:spacing w:after="0" w:before="120"/>
      </w:pPr>
    </w:p>
    <w:p>
      <w:pPr>
        <w:spacing w:after="100" w:before="100"/>
        <w:jc w:val="left"/>
      </w:pPr>
      <w:r>
        <w:rPr>
          <w:rFonts w:ascii="Arial" w:cs="Arial" w:eastAsia="Arial" w:hAnsi="Arial"/>
          <w:b/>
          <w:bCs/>
          <w:i w:val="false"/>
          <w:iCs w:val="false"/>
          <w:color w:val="1A1A1A"/>
          <w:sz w:val="20"/>
          <w:szCs w:val="20"/>
        </w:rPr>
        <w:t xml:space="preserve">JRS does not:</w:t>
      </w:r>
    </w:p>
    <w:p>
      <w:pPr>
        <w:pStyle w:val="ListParagraph"/>
        <w:numPr>
          <w:ilvl w:val="0"/>
          <w:numId w:val="3"/>
        </w:numPr>
        <w:spacing w:after="60" w:before="60"/>
      </w:pPr>
      <w:r>
        <w:rPr>
          <w:rFonts w:ascii="Arial" w:cs="Arial" w:eastAsia="Arial" w:hAnsi="Arial"/>
          <w:color w:val="1A1A1A"/>
          <w:sz w:val="20"/>
          <w:szCs w:val="20"/>
        </w:rPr>
        <w:t xml:space="preserve">Determine whether an employment decision was substantively correct</w:t>
      </w:r>
    </w:p>
    <w:p>
      <w:pPr>
        <w:pStyle w:val="ListParagraph"/>
        <w:numPr>
          <w:ilvl w:val="0"/>
          <w:numId w:val="3"/>
        </w:numPr>
        <w:spacing w:after="60" w:before="60"/>
      </w:pPr>
      <w:r>
        <w:rPr>
          <w:rFonts w:ascii="Arial" w:cs="Arial" w:eastAsia="Arial" w:hAnsi="Arial"/>
          <w:color w:val="1A1A1A"/>
          <w:sz w:val="20"/>
          <w:szCs w:val="20"/>
        </w:rPr>
        <w:t xml:space="preserve">Establish legal sufficiency or eliminate organizational risk</w:t>
      </w:r>
    </w:p>
    <w:p>
      <w:pPr>
        <w:pStyle w:val="ListParagraph"/>
        <w:numPr>
          <w:ilvl w:val="0"/>
          <w:numId w:val="3"/>
        </w:numPr>
        <w:spacing w:after="60" w:before="60"/>
      </w:pPr>
      <w:r>
        <w:rPr>
          <w:rFonts w:ascii="Arial" w:cs="Arial" w:eastAsia="Arial" w:hAnsi="Arial"/>
          <w:color w:val="1A1A1A"/>
          <w:sz w:val="20"/>
          <w:szCs w:val="20"/>
        </w:rPr>
        <w:t xml:space="preserve">Replace professional judgment, legal counsel, or HR expertise</w:t>
      </w:r>
    </w:p>
    <w:p>
      <w:pPr>
        <w:pStyle w:val="ListParagraph"/>
        <w:numPr>
          <w:ilvl w:val="0"/>
          <w:numId w:val="3"/>
        </w:numPr>
        <w:spacing w:after="60" w:before="60"/>
      </w:pPr>
      <w:r>
        <w:rPr>
          <w:rFonts w:ascii="Arial" w:cs="Arial" w:eastAsia="Arial" w:hAnsi="Arial"/>
          <w:color w:val="1A1A1A"/>
          <w:sz w:val="20"/>
          <w:szCs w:val="20"/>
        </w:rPr>
        <w:t xml:space="preserve">Guarantee compliance with applicable employment or regulatory law</w:t>
      </w:r>
    </w:p>
    <w:p>
      <w:pPr>
        <w:spacing w:after="0" w:before="80"/>
      </w:pPr>
    </w:p>
    <w:p>
      <w:pPr>
        <w:spacing w:after="80" w:before="80"/>
      </w:pPr>
      <w:r>
        <w:rPr>
          <w:rFonts w:ascii="Arial" w:cs="Arial" w:eastAsia="Arial" w:hAnsi="Arial"/>
          <w:i/>
          <w:iCs/>
          <w:color w:val="555555"/>
          <w:sz w:val="18"/>
          <w:szCs w:val="18"/>
        </w:rPr>
        <w:t xml:space="preserve">This does not establish legal sufficiency. It does not replace professional judgment. It makes the evidentiary basis of a record visible enough to support later review.</w:t>
      </w:r>
    </w:p>
    <w:p>
      <w:pPr>
        <w:spacing w:after="0" w:before="120"/>
      </w:pPr>
    </w:p>
    <w:p>
      <w:pPr>
        <w:spacing w:after="160" w:before="320"/>
      </w:pPr>
      <w:r>
        <w:rPr>
          <w:rFonts w:ascii="Arial" w:cs="Arial" w:eastAsia="Arial" w:hAnsi="Arial"/>
          <w:b/>
          <w:bCs/>
          <w:color w:val="8B6914"/>
          <w:sz w:val="24"/>
          <w:szCs w:val="24"/>
        </w:rPr>
        <w:t xml:space="preserve">| 11. INVESTIGATOR QUESTION SETS BY RECORD TYPE</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Apply the relevant question set before finalizing documentation in each context. These questions reflect what someone reviewing the record later would need to evaluate it.</w:t>
      </w:r>
    </w:p>
    <w:p>
      <w:pPr>
        <w:spacing w:after="0" w:before="100"/>
      </w:pPr>
    </w:p>
    <w:p>
      <w:pPr>
        <w:spacing w:after="100" w:before="100"/>
        <w:jc w:val="left"/>
      </w:pPr>
      <w:r>
        <w:rPr>
          <w:rFonts w:ascii="Arial" w:cs="Arial" w:eastAsia="Arial" w:hAnsi="Arial"/>
          <w:b/>
          <w:bCs/>
          <w:i w:val="false"/>
          <w:iCs w:val="false"/>
          <w:color w:val="8B6914"/>
          <w:sz w:val="20"/>
          <w:szCs w:val="20"/>
        </w:rPr>
        <w:t xml:space="preserve">INVESTIGATION RECORDS</w:t>
      </w:r>
    </w:p>
    <w:p>
      <w:pPr>
        <w:pStyle w:val="ListParagraph"/>
        <w:numPr>
          <w:ilvl w:val="0"/>
          <w:numId w:val="3"/>
        </w:numPr>
        <w:spacing w:after="60" w:before="60"/>
      </w:pPr>
      <w:r>
        <w:rPr>
          <w:rFonts w:ascii="Arial" w:cs="Arial" w:eastAsia="Arial" w:hAnsi="Arial"/>
          <w:color w:val="1A1A1A"/>
          <w:sz w:val="20"/>
          <w:szCs w:val="20"/>
        </w:rPr>
        <w:t xml:space="preserve">What source materials were reviewed, and are they identified in the record?</w:t>
      </w:r>
    </w:p>
    <w:p>
      <w:pPr>
        <w:pStyle w:val="ListParagraph"/>
        <w:numPr>
          <w:ilvl w:val="0"/>
          <w:numId w:val="3"/>
        </w:numPr>
        <w:spacing w:after="60" w:before="60"/>
      </w:pPr>
      <w:r>
        <w:rPr>
          <w:rFonts w:ascii="Arial" w:cs="Arial" w:eastAsia="Arial" w:hAnsi="Arial"/>
          <w:color w:val="1A1A1A"/>
          <w:sz w:val="20"/>
          <w:szCs w:val="20"/>
        </w:rPr>
        <w:t xml:space="preserve">Are witness accounts, relevant dates, and referenced evidence identified?</w:t>
      </w:r>
    </w:p>
    <w:p>
      <w:pPr>
        <w:pStyle w:val="ListParagraph"/>
        <w:numPr>
          <w:ilvl w:val="0"/>
          <w:numId w:val="3"/>
        </w:numPr>
        <w:spacing w:after="60" w:before="60"/>
      </w:pPr>
      <w:r>
        <w:rPr>
          <w:rFonts w:ascii="Arial" w:cs="Arial" w:eastAsia="Arial" w:hAnsi="Arial"/>
          <w:color w:val="1A1A1A"/>
          <w:sz w:val="20"/>
          <w:szCs w:val="20"/>
        </w:rPr>
        <w:t xml:space="preserve">Are conflicting accounts or gaps in the evidence acknowledged in the record?</w:t>
      </w:r>
    </w:p>
    <w:p>
      <w:pPr>
        <w:pStyle w:val="ListParagraph"/>
        <w:numPr>
          <w:ilvl w:val="0"/>
          <w:numId w:val="3"/>
        </w:numPr>
        <w:spacing w:after="60" w:before="60"/>
      </w:pPr>
      <w:r>
        <w:rPr>
          <w:rFonts w:ascii="Arial" w:cs="Arial" w:eastAsia="Arial" w:hAnsi="Arial"/>
          <w:color w:val="1A1A1A"/>
          <w:sz w:val="20"/>
          <w:szCs w:val="20"/>
        </w:rPr>
        <w:t xml:space="preserve">Does the file explain itself, or does following the reasoning require outside knowledge?</w:t>
      </w:r>
    </w:p>
    <w:p>
      <w:pPr>
        <w:spacing w:after="0" w:before="100"/>
      </w:pPr>
    </w:p>
    <w:p>
      <w:pPr>
        <w:spacing w:after="100" w:before="100"/>
        <w:jc w:val="left"/>
      </w:pPr>
      <w:r>
        <w:rPr>
          <w:rFonts w:ascii="Arial" w:cs="Arial" w:eastAsia="Arial" w:hAnsi="Arial"/>
          <w:b/>
          <w:bCs/>
          <w:i w:val="false"/>
          <w:iCs w:val="false"/>
          <w:color w:val="8B6914"/>
          <w:sz w:val="20"/>
          <w:szCs w:val="20"/>
        </w:rPr>
        <w:t xml:space="preserve">DISCIPLINARY DOCUMENTATION</w:t>
      </w:r>
    </w:p>
    <w:p>
      <w:pPr>
        <w:pStyle w:val="ListParagraph"/>
        <w:numPr>
          <w:ilvl w:val="0"/>
          <w:numId w:val="3"/>
        </w:numPr>
        <w:spacing w:after="60" w:before="60"/>
      </w:pPr>
      <w:r>
        <w:rPr>
          <w:rFonts w:ascii="Arial" w:cs="Arial" w:eastAsia="Arial" w:hAnsi="Arial"/>
          <w:color w:val="1A1A1A"/>
          <w:sz w:val="20"/>
          <w:szCs w:val="20"/>
        </w:rPr>
        <w:t xml:space="preserve">What specific conduct occurred, on what dates, and is it documented?</w:t>
      </w:r>
    </w:p>
    <w:p>
      <w:pPr>
        <w:pStyle w:val="ListParagraph"/>
        <w:numPr>
          <w:ilvl w:val="0"/>
          <w:numId w:val="3"/>
        </w:numPr>
        <w:spacing w:after="60" w:before="60"/>
      </w:pPr>
      <w:r>
        <w:rPr>
          <w:rFonts w:ascii="Arial" w:cs="Arial" w:eastAsia="Arial" w:hAnsi="Arial"/>
          <w:color w:val="1A1A1A"/>
          <w:sz w:val="20"/>
          <w:szCs w:val="20"/>
        </w:rPr>
        <w:t xml:space="preserve">Which policy or expectation was violated, and is that reference in the record?</w:t>
      </w:r>
    </w:p>
    <w:p>
      <w:pPr>
        <w:pStyle w:val="ListParagraph"/>
        <w:numPr>
          <w:ilvl w:val="0"/>
          <w:numId w:val="3"/>
        </w:numPr>
        <w:spacing w:after="60" w:before="60"/>
      </w:pPr>
      <w:r>
        <w:rPr>
          <w:rFonts w:ascii="Arial" w:cs="Arial" w:eastAsia="Arial" w:hAnsi="Arial"/>
          <w:color w:val="1A1A1A"/>
          <w:sz w:val="20"/>
          <w:szCs w:val="20"/>
        </w:rPr>
        <w:t xml:space="preserve">Was the employee informed of the violation, and is that documented?</w:t>
      </w:r>
    </w:p>
    <w:p>
      <w:pPr>
        <w:pStyle w:val="ListParagraph"/>
        <w:numPr>
          <w:ilvl w:val="0"/>
          <w:numId w:val="3"/>
        </w:numPr>
        <w:spacing w:after="60" w:before="60"/>
      </w:pPr>
      <w:r>
        <w:rPr>
          <w:rFonts w:ascii="Arial" w:cs="Arial" w:eastAsia="Arial" w:hAnsi="Arial"/>
          <w:color w:val="1A1A1A"/>
          <w:sz w:val="20"/>
          <w:szCs w:val="20"/>
        </w:rPr>
        <w:t xml:space="preserve">Are prior warnings or counseling records referenced and on file?</w:t>
      </w:r>
    </w:p>
    <w:p>
      <w:pPr>
        <w:spacing w:after="0" w:before="100"/>
      </w:pPr>
    </w:p>
    <w:p>
      <w:pPr>
        <w:spacing w:after="100" w:before="100"/>
        <w:jc w:val="left"/>
      </w:pPr>
      <w:r>
        <w:rPr>
          <w:rFonts w:ascii="Arial" w:cs="Arial" w:eastAsia="Arial" w:hAnsi="Arial"/>
          <w:b/>
          <w:bCs/>
          <w:i w:val="false"/>
          <w:iCs w:val="false"/>
          <w:color w:val="8B6914"/>
          <w:sz w:val="20"/>
          <w:szCs w:val="20"/>
        </w:rPr>
        <w:t xml:space="preserve">TERMINATION DOCUMENTATION</w:t>
      </w:r>
    </w:p>
    <w:p>
      <w:pPr>
        <w:pStyle w:val="ListParagraph"/>
        <w:numPr>
          <w:ilvl w:val="0"/>
          <w:numId w:val="3"/>
        </w:numPr>
        <w:spacing w:after="60" w:before="60"/>
      </w:pPr>
      <w:r>
        <w:rPr>
          <w:rFonts w:ascii="Arial" w:cs="Arial" w:eastAsia="Arial" w:hAnsi="Arial"/>
          <w:color w:val="1A1A1A"/>
          <w:sz w:val="20"/>
          <w:szCs w:val="20"/>
        </w:rPr>
        <w:t xml:space="preserve">What specific events, patterns, or decisions support the termination decision?</w:t>
      </w:r>
    </w:p>
    <w:p>
      <w:pPr>
        <w:pStyle w:val="ListParagraph"/>
        <w:numPr>
          <w:ilvl w:val="0"/>
          <w:numId w:val="3"/>
        </w:numPr>
        <w:spacing w:after="60" w:before="60"/>
      </w:pPr>
      <w:r>
        <w:rPr>
          <w:rFonts w:ascii="Arial" w:cs="Arial" w:eastAsia="Arial" w:hAnsi="Arial"/>
          <w:color w:val="1A1A1A"/>
          <w:sz w:val="20"/>
          <w:szCs w:val="20"/>
        </w:rPr>
        <w:t xml:space="preserve">Are all supporting records referenced, identified, and on file?</w:t>
      </w:r>
    </w:p>
    <w:p>
      <w:pPr>
        <w:pStyle w:val="ListParagraph"/>
        <w:numPr>
          <w:ilvl w:val="0"/>
          <w:numId w:val="3"/>
        </w:numPr>
        <w:spacing w:after="60" w:before="60"/>
      </w:pPr>
      <w:r>
        <w:rPr>
          <w:rFonts w:ascii="Arial" w:cs="Arial" w:eastAsia="Arial" w:hAnsi="Arial"/>
          <w:color w:val="1A1A1A"/>
          <w:sz w:val="20"/>
          <w:szCs w:val="20"/>
        </w:rPr>
        <w:t xml:space="preserve">Is the decision rationale documented separately from employee-facing communication?</w:t>
      </w:r>
    </w:p>
    <w:p>
      <w:pPr>
        <w:pStyle w:val="ListParagraph"/>
        <w:numPr>
          <w:ilvl w:val="0"/>
          <w:numId w:val="3"/>
        </w:numPr>
        <w:spacing w:after="60" w:before="60"/>
      </w:pPr>
      <w:r>
        <w:rPr>
          <w:rFonts w:ascii="Arial" w:cs="Arial" w:eastAsia="Arial" w:hAnsi="Arial"/>
          <w:color w:val="1A1A1A"/>
          <w:sz w:val="20"/>
          <w:szCs w:val="20"/>
        </w:rPr>
        <w:t xml:space="preserve">Has secondary review been completed? Is that documented?</w:t>
      </w:r>
    </w:p>
    <w:p>
      <w:pPr>
        <w:spacing w:after="0" w:before="100"/>
      </w:pPr>
    </w:p>
    <w:p>
      <w:pPr>
        <w:spacing w:after="100" w:before="100"/>
        <w:jc w:val="left"/>
      </w:pPr>
      <w:r>
        <w:rPr>
          <w:rFonts w:ascii="Arial" w:cs="Arial" w:eastAsia="Arial" w:hAnsi="Arial"/>
          <w:b/>
          <w:bCs/>
          <w:i w:val="false"/>
          <w:iCs w:val="false"/>
          <w:color w:val="8B6914"/>
          <w:sz w:val="20"/>
          <w:szCs w:val="20"/>
        </w:rPr>
        <w:t xml:space="preserve">PERFORMANCE DOCUMENTATION</w:t>
      </w:r>
    </w:p>
    <w:p>
      <w:pPr>
        <w:pStyle w:val="ListParagraph"/>
        <w:numPr>
          <w:ilvl w:val="0"/>
          <w:numId w:val="3"/>
        </w:numPr>
        <w:spacing w:after="60" w:before="60"/>
      </w:pPr>
      <w:r>
        <w:rPr>
          <w:rFonts w:ascii="Arial" w:cs="Arial" w:eastAsia="Arial" w:hAnsi="Arial"/>
          <w:color w:val="1A1A1A"/>
          <w:sz w:val="20"/>
          <w:szCs w:val="20"/>
        </w:rPr>
        <w:t xml:space="preserve">What specific behaviors or outcomes support the evaluation, and over what period?</w:t>
      </w:r>
    </w:p>
    <w:p>
      <w:pPr>
        <w:pStyle w:val="ListParagraph"/>
        <w:numPr>
          <w:ilvl w:val="0"/>
          <w:numId w:val="3"/>
        </w:numPr>
        <w:spacing w:after="60" w:before="60"/>
      </w:pPr>
      <w:r>
        <w:rPr>
          <w:rFonts w:ascii="Arial" w:cs="Arial" w:eastAsia="Arial" w:hAnsi="Arial"/>
          <w:color w:val="1A1A1A"/>
          <w:sz w:val="20"/>
          <w:szCs w:val="20"/>
        </w:rPr>
        <w:t xml:space="preserve">Against what documented standard are these behaviors being measured?</w:t>
      </w:r>
    </w:p>
    <w:p>
      <w:pPr>
        <w:pStyle w:val="ListParagraph"/>
        <w:numPr>
          <w:ilvl w:val="0"/>
          <w:numId w:val="3"/>
        </w:numPr>
        <w:spacing w:after="60" w:before="60"/>
      </w:pPr>
      <w:r>
        <w:rPr>
          <w:rFonts w:ascii="Arial" w:cs="Arial" w:eastAsia="Arial" w:hAnsi="Arial"/>
          <w:color w:val="1A1A1A"/>
          <w:sz w:val="20"/>
          <w:szCs w:val="20"/>
        </w:rPr>
        <w:t xml:space="preserve">Are coaching notes, feedback records, or prior warnings referenced and on file?</w:t>
      </w:r>
    </w:p>
    <w:p>
      <w:pPr>
        <w:pStyle w:val="ListParagraph"/>
        <w:numPr>
          <w:ilvl w:val="0"/>
          <w:numId w:val="3"/>
        </w:numPr>
        <w:spacing w:after="60" w:before="60"/>
      </w:pPr>
      <w:r>
        <w:rPr>
          <w:rFonts w:ascii="Arial" w:cs="Arial" w:eastAsia="Arial" w:hAnsi="Arial"/>
          <w:color w:val="1A1A1A"/>
          <w:sz w:val="20"/>
          <w:szCs w:val="20"/>
        </w:rPr>
        <w:t xml:space="preserve">Could someone reviewing this later follow the basis without the manager's recollection?</w:t>
      </w:r>
    </w:p>
    <w:p>
      <w:pPr>
        <w:spacing w:after="0" w:before="100"/>
      </w:pPr>
    </w:p>
    <w:p>
      <w:pPr>
        <w:spacing w:after="100" w:before="100"/>
        <w:jc w:val="left"/>
      </w:pPr>
      <w:r>
        <w:rPr>
          <w:rFonts w:ascii="Arial" w:cs="Arial" w:eastAsia="Arial" w:hAnsi="Arial"/>
          <w:b/>
          <w:bCs/>
          <w:i w:val="false"/>
          <w:iCs w:val="false"/>
          <w:color w:val="8B6914"/>
          <w:sz w:val="20"/>
          <w:szCs w:val="20"/>
        </w:rPr>
        <w:t xml:space="preserve">ACCOMMODATION DOCUMENTATION</w:t>
      </w:r>
    </w:p>
    <w:p>
      <w:pPr>
        <w:pStyle w:val="ListParagraph"/>
        <w:numPr>
          <w:ilvl w:val="0"/>
          <w:numId w:val="3"/>
        </w:numPr>
        <w:spacing w:after="60" w:before="60"/>
      </w:pPr>
      <w:r>
        <w:rPr>
          <w:rFonts w:ascii="Arial" w:cs="Arial" w:eastAsia="Arial" w:hAnsi="Arial"/>
          <w:color w:val="1A1A1A"/>
          <w:sz w:val="20"/>
          <w:szCs w:val="20"/>
        </w:rPr>
        <w:t xml:space="preserve">What request was made, on what date, and is that documented?</w:t>
      </w:r>
    </w:p>
    <w:p>
      <w:pPr>
        <w:pStyle w:val="ListParagraph"/>
        <w:numPr>
          <w:ilvl w:val="0"/>
          <w:numId w:val="3"/>
        </w:numPr>
        <w:spacing w:after="60" w:before="60"/>
      </w:pPr>
      <w:r>
        <w:rPr>
          <w:rFonts w:ascii="Arial" w:cs="Arial" w:eastAsia="Arial" w:hAnsi="Arial"/>
          <w:color w:val="1A1A1A"/>
          <w:sz w:val="20"/>
          <w:szCs w:val="20"/>
        </w:rPr>
        <w:t xml:space="preserve">What interactive process steps occurred and are documented?</w:t>
      </w:r>
    </w:p>
    <w:p>
      <w:pPr>
        <w:pStyle w:val="ListParagraph"/>
        <w:numPr>
          <w:ilvl w:val="0"/>
          <w:numId w:val="3"/>
        </w:numPr>
        <w:spacing w:after="60" w:before="60"/>
      </w:pPr>
      <w:r>
        <w:rPr>
          <w:rFonts w:ascii="Arial" w:cs="Arial" w:eastAsia="Arial" w:hAnsi="Arial"/>
          <w:color w:val="1A1A1A"/>
          <w:sz w:val="20"/>
          <w:szCs w:val="20"/>
        </w:rPr>
        <w:t xml:space="preserve">What determination was reached, and is the rationale on file?</w:t>
      </w:r>
    </w:p>
    <w:p>
      <w:pPr>
        <w:pStyle w:val="ListParagraph"/>
        <w:numPr>
          <w:ilvl w:val="0"/>
          <w:numId w:val="3"/>
        </w:numPr>
        <w:spacing w:after="60" w:before="60"/>
      </w:pPr>
      <w:r>
        <w:rPr>
          <w:rFonts w:ascii="Arial" w:cs="Arial" w:eastAsia="Arial" w:hAnsi="Arial"/>
          <w:color w:val="1A1A1A"/>
          <w:sz w:val="20"/>
          <w:szCs w:val="20"/>
        </w:rPr>
        <w:t xml:space="preserve">Are limitations, alternatives considered, or undue hardship factors documented?</w:t>
      </w:r>
    </w:p>
    <w:p>
      <w:pPr>
        <w:spacing w:after="0" w:before="80"/>
      </w:pPr>
    </w:p>
    <w:p>
      <w:pPr>
        <w:spacing w:after="80" w:before="80"/>
      </w:pPr>
      <w:r>
        <w:rPr>
          <w:rFonts w:ascii="Arial" w:cs="Arial" w:eastAsia="Arial" w:hAnsi="Arial"/>
          <w:i/>
          <w:iCs/>
          <w:color w:val="555555"/>
          <w:sz w:val="18"/>
          <w:szCs w:val="18"/>
        </w:rPr>
        <w:t xml:space="preserve">In each of these contexts, the underlying check is the same: does the file explain itself? Would the basis for this conclusion still be clear to someone reading it six months from now, with no background on the people or events involved? If not, additional anchoring is needed before the record is finalized.</w:t>
      </w:r>
    </w:p>
    <w:p>
      <w:pPr>
        <w:spacing w:after="0" w:before="120"/>
      </w:pPr>
    </w:p>
    <w:p>
      <w:pPr>
        <w:pageBreakBefore/>
      </w:pPr>
    </w:p>
    <w:p>
      <w:pPr>
        <w:spacing w:after="160" w:before="320"/>
      </w:pPr>
      <w:r>
        <w:rPr>
          <w:rFonts w:ascii="Arial" w:cs="Arial" w:eastAsia="Arial" w:hAnsi="Arial"/>
          <w:b/>
          <w:bCs/>
          <w:color w:val="8B6914"/>
          <w:sz w:val="24"/>
          <w:szCs w:val="24"/>
        </w:rPr>
        <w:t xml:space="preserve">| 12. IMPLEMENTATION GUIDANCE</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JRS operates within existing investigative workflows. No dedicated platform or tooling is required. Investigators and fact-finders can begin applying the diagnostic questions and failure-mode recognition immediately within current procedures.</w:t>
      </w:r>
    </w:p>
    <w:p>
      <w:pPr>
        <w:spacing w:after="0" w:before="100"/>
      </w:pPr>
    </w:p>
    <w:p>
      <w:pPr>
        <w:spacing w:after="100" w:before="100"/>
        <w:jc w:val="left"/>
      </w:pPr>
      <w:r>
        <w:rPr>
          <w:rFonts w:ascii="Arial" w:cs="Arial" w:eastAsia="Arial" w:hAnsi="Arial"/>
          <w:b/>
          <w:bCs/>
          <w:i w:val="false"/>
          <w:iCs w:val="false"/>
          <w:color w:val="8B6914"/>
          <w:sz w:val="20"/>
          <w:szCs w:val="20"/>
        </w:rPr>
        <w:t xml:space="preserve">IMPLEMENTATION LEVELS</w:t>
      </w:r>
    </w:p>
    <w:p>
      <w:pPr>
        <w:spacing w:after="0" w:before="80"/>
      </w:pPr>
    </w:p>
    <w:p>
      <w:pPr>
        <w:pStyle w:val="ListParagraph"/>
        <w:numPr>
          <w:ilvl w:val="0"/>
          <w:numId w:val="4"/>
        </w:numPr>
        <w:spacing w:after="60" w:before="60"/>
      </w:pPr>
      <w:r>
        <w:rPr>
          <w:rFonts w:ascii="Arial" w:cs="Arial" w:eastAsia="Arial" w:hAnsi="Arial"/>
          <w:color w:val="1A1A1A"/>
          <w:sz w:val="20"/>
          <w:szCs w:val="20"/>
        </w:rPr>
        <w:t xml:space="preserve">Foundational: Self-Correction. The investigator applies the diagnostic questions and Adjective Alert before finalizing any record. No secondary review required. No dedicated tooling required.</w:t>
      </w:r>
    </w:p>
    <w:p>
      <w:pPr>
        <w:pStyle w:val="ListParagraph"/>
        <w:numPr>
          <w:ilvl w:val="0"/>
          <w:numId w:val="4"/>
        </w:numPr>
        <w:spacing w:after="60" w:before="60"/>
      </w:pPr>
      <w:r>
        <w:rPr>
          <w:rFonts w:ascii="Arial" w:cs="Arial" w:eastAsia="Arial" w:hAnsi="Arial"/>
          <w:color w:val="1A1A1A"/>
          <w:sz w:val="20"/>
          <w:szCs w:val="20"/>
        </w:rPr>
        <w:t xml:space="preserve">Intermediate: Secondary Review. Secondary compliance or legal review for elevated-risk records, including termination, accommodation, and investigation conclusions. Applied selectively based on documentation risk.</w:t>
      </w:r>
    </w:p>
    <w:p>
      <w:pPr>
        <w:pStyle w:val="ListParagraph"/>
        <w:numPr>
          <w:ilvl w:val="0"/>
          <w:numId w:val="4"/>
        </w:numPr>
        <w:spacing w:after="60" w:before="60"/>
      </w:pPr>
      <w:r>
        <w:rPr>
          <w:rFonts w:ascii="Arial" w:cs="Arial" w:eastAsia="Arial" w:hAnsi="Arial"/>
          <w:color w:val="1A1A1A"/>
          <w:sz w:val="20"/>
          <w:szCs w:val="20"/>
        </w:rPr>
        <w:t xml:space="preserve">Systemic: Audit and Governance. Periodic sampling of organizational records for identifiable support and traceable reasoning. The reviewing function is independent of the drafting chain.</w:t>
      </w:r>
    </w:p>
    <w:p>
      <w:pPr>
        <w:spacing w:after="0" w:before="100"/>
      </w:pPr>
    </w:p>
    <w:p>
      <w:pPr>
        <w:spacing w:after="100" w:before="100"/>
        <w:jc w:val="left"/>
      </w:pPr>
      <w:r>
        <w:rPr>
          <w:rFonts w:ascii="Arial" w:cs="Arial" w:eastAsia="Arial" w:hAnsi="Arial"/>
          <w:b/>
          <w:bCs/>
          <w:i w:val="false"/>
          <w:iCs w:val="false"/>
          <w:color w:val="8B6914"/>
          <w:sz w:val="20"/>
          <w:szCs w:val="20"/>
        </w:rPr>
        <w:t xml:space="preserve">SECOND-LINE REVIEW ESCALATION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RISK INDICATOR</w:t>
            </w:r>
          </w:p>
        </w:tc>
        <w:tc>
          <w:tcPr>
            <w:tcW w:type="dxa" w:w="5760"/>
            <w:tcBorders>
              <w:top w:val="single" w:color="444444" w:sz="4"/>
              <w:left w:val="single" w:color="444444" w:sz="2"/>
              <w:bottom w:val="single" w:color="444444" w:sz="4"/>
              <w:right w:val="single" w:color="444444" w:sz="2"/>
            </w:tcBorders>
            <w:shd w:fill="2C2C2C" w:val="clear"/>
            <w:tcMar>
              <w:top w:type="dxa" w:w="80"/>
              <w:left w:type="dxa" w:w="120"/>
              <w:bottom w:type="dxa" w:w="80"/>
              <w:right w:type="dxa" w:w="120"/>
            </w:tcMar>
          </w:tcPr>
          <w:p>
            <w:r>
              <w:rPr>
                <w:rFonts w:ascii="Arial" w:cs="Arial" w:eastAsia="Arial" w:hAnsi="Arial"/>
                <w:b/>
                <w:bCs/>
                <w:caps/>
                <w:color w:val="FFFFFF"/>
                <w:sz w:val="18"/>
                <w:szCs w:val="18"/>
              </w:rPr>
              <w:t xml:space="preserve">RECOMMENDED REVIEW</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18"/>
                <w:szCs w:val="18"/>
              </w:rPr>
              <w:t xml:space="preserve">Termination documentation</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3A1A"/>
                <w:sz w:val="18"/>
                <w:szCs w:val="18"/>
              </w:rPr>
              <w:t xml:space="preserve">HR secondary review plus legal/compliance consultation before entry</w:t>
            </w:r>
          </w:p>
        </w:tc>
      </w:tr>
      <w:tr>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1A1A"/>
                <w:sz w:val="18"/>
                <w:szCs w:val="18"/>
              </w:rPr>
              <w:t xml:space="preserve">Accommodation disputes</w:t>
            </w:r>
          </w:p>
        </w:tc>
        <w:tc>
          <w:tcPr>
            <w:tcW w:type="dxa" w:w="57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3A1A"/>
                <w:sz w:val="18"/>
                <w:szCs w:val="18"/>
              </w:rPr>
              <w:t xml:space="preserve">Legal or compliance review of interactive process documentation</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18"/>
                <w:szCs w:val="18"/>
              </w:rPr>
              <w:t xml:space="preserve">AI-assisted summaries without attestation</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3A1A"/>
                <w:sz w:val="18"/>
                <w:szCs w:val="18"/>
              </w:rPr>
              <w:t xml:space="preserve">Source verification and documented human review before entry</w:t>
            </w:r>
          </w:p>
        </w:tc>
      </w:tr>
      <w:tr>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1A1A"/>
                <w:sz w:val="18"/>
                <w:szCs w:val="18"/>
              </w:rPr>
              <w:t xml:space="preserve">Formal disciplinary action</w:t>
            </w:r>
          </w:p>
        </w:tc>
        <w:tc>
          <w:tcPr>
            <w:tcW w:type="dxa" w:w="57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3A1A"/>
                <w:sz w:val="18"/>
                <w:szCs w:val="18"/>
              </w:rPr>
              <w:t xml:space="preserve">Traceability review: confirm specific conduct dates and policy references</w:t>
            </w:r>
          </w:p>
        </w:tc>
      </w:tr>
      <w:tr>
        <w:tc>
          <w:tcPr>
            <w:tcW w:type="dxa" w:w="3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18"/>
                <w:szCs w:val="18"/>
              </w:rPr>
              <w:t xml:space="preserve">Investigation conclusions</w:t>
            </w:r>
          </w:p>
        </w:tc>
        <w:tc>
          <w:tcPr>
            <w:tcW w:type="dxa" w:w="5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3A1A"/>
                <w:sz w:val="18"/>
                <w:szCs w:val="18"/>
              </w:rPr>
              <w:t xml:space="preserve">Independent review of source evidence and acknowledgment of gaps or conflicts in the evidence</w:t>
            </w:r>
          </w:p>
        </w:tc>
      </w:tr>
      <w:tr>
        <w:tc>
          <w:tcPr>
            <w:tcW w:type="dxa" w:w="360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1A1A"/>
                <w:sz w:val="18"/>
                <w:szCs w:val="18"/>
              </w:rPr>
              <w:t xml:space="preserve">Evaluative language without behavioral anchors</w:t>
            </w:r>
          </w:p>
        </w:tc>
        <w:tc>
          <w:tcPr>
            <w:tcW w:type="dxa" w:w="5760"/>
            <w:tcBorders>
              <w:top w:val="single" w:color="CCCCCC" w:sz="2"/>
              <w:left w:val="single" w:color="CCCCCC" w:sz="2"/>
              <w:bottom w:val="single" w:color="CCCCCC" w:sz="2"/>
              <w:right w:val="single" w:color="CCCCCC" w:sz="2"/>
            </w:tcBorders>
            <w:shd w:fill="F7F4EE" w:val="clear"/>
            <w:tcMar>
              <w:top w:type="dxa" w:w="80"/>
              <w:left w:type="dxa" w:w="120"/>
              <w:bottom w:type="dxa" w:w="80"/>
              <w:right w:type="dxa" w:w="120"/>
            </w:tcMar>
          </w:tcPr>
          <w:p>
            <w:r>
              <w:rPr>
                <w:rFonts w:ascii="Arial" w:cs="Arial" w:eastAsia="Arial" w:hAnsi="Arial"/>
                <w:color w:val="1A3A1A"/>
                <w:sz w:val="18"/>
                <w:szCs w:val="18"/>
              </w:rPr>
              <w:t xml:space="preserve">Return to drafter for anchoring before submission</w:t>
            </w:r>
          </w:p>
        </w:tc>
      </w:tr>
    </w:tbl>
    <w:p>
      <w:pPr>
        <w:spacing w:after="0" w:before="120"/>
      </w:pPr>
    </w:p>
    <w:p>
      <w:pPr>
        <w:spacing w:after="160" w:before="320"/>
      </w:pPr>
      <w:r>
        <w:rPr>
          <w:rFonts w:ascii="Arial" w:cs="Arial" w:eastAsia="Arial" w:hAnsi="Arial"/>
          <w:b/>
          <w:bCs/>
          <w:color w:val="8B6914"/>
          <w:sz w:val="24"/>
          <w:szCs w:val="24"/>
        </w:rPr>
        <w:t xml:space="preserve">| DISCLAIMERS AND LIMITATIONS</w:t>
      </w:r>
    </w:p>
    <w:p>
      <w:pPr>
        <w:pBdr>
          <w:bottom w:val="single" w:color="B8A060" w:sz="8" w:space="1"/>
        </w:pBdr>
        <w:spacing w:after="120" w:before="120"/>
      </w:pPr>
    </w:p>
    <w:p>
      <w:pPr>
        <w:spacing w:after="0" w:before="80"/>
      </w:pPr>
    </w:p>
    <w:p>
      <w:pPr>
        <w:spacing w:after="100" w:before="100"/>
        <w:jc w:val="left"/>
      </w:pPr>
      <w:r>
        <w:rPr>
          <w:rFonts w:ascii="Arial" w:cs="Arial" w:eastAsia="Arial" w:hAnsi="Arial"/>
          <w:b w:val="false"/>
          <w:bCs w:val="false"/>
          <w:i w:val="false"/>
          <w:iCs w:val="false"/>
          <w:color w:val="1A1A1A"/>
          <w:sz w:val="20"/>
          <w:szCs w:val="20"/>
        </w:rPr>
        <w:t xml:space="preserve">Not legal advice. This document is issued as an open-standard technical resource. It does not constitute legal advice and is intended to supplement existing investigative procedures and manuals. Organizations should consult qualified legal counsel regarding applicable law and documentation requirements in their jurisdiction.</w:t>
      </w:r>
    </w:p>
    <w:p>
      <w:pPr>
        <w:spacing w:after="0" w:before="60"/>
      </w:pPr>
    </w:p>
    <w:p>
      <w:pPr>
        <w:spacing w:after="100" w:before="100"/>
        <w:jc w:val="left"/>
      </w:pPr>
      <w:r>
        <w:rPr>
          <w:rFonts w:ascii="Arial" w:cs="Arial" w:eastAsia="Arial" w:hAnsi="Arial"/>
          <w:b w:val="false"/>
          <w:bCs w:val="false"/>
          <w:i w:val="false"/>
          <w:iCs w:val="false"/>
          <w:color w:val="1A1A1A"/>
          <w:sz w:val="20"/>
          <w:szCs w:val="20"/>
        </w:rPr>
        <w:t xml:space="preserve">Legal sufficiency. Application of the JRS does not establish legal sufficiency or eliminate legal risk. Documentation that satisfies this standard may still be insufficient under applicable law.</w:t>
      </w:r>
    </w:p>
    <w:p>
      <w:pPr>
        <w:spacing w:after="0" w:before="60"/>
      </w:pPr>
    </w:p>
    <w:p>
      <w:pPr>
        <w:spacing w:after="100" w:before="100"/>
        <w:jc w:val="left"/>
      </w:pPr>
      <w:r>
        <w:rPr>
          <w:rFonts w:ascii="Arial" w:cs="Arial" w:eastAsia="Arial" w:hAnsi="Arial"/>
          <w:b w:val="false"/>
          <w:bCs w:val="false"/>
          <w:i w:val="false"/>
          <w:iCs w:val="false"/>
          <w:color w:val="1A1A1A"/>
          <w:sz w:val="20"/>
          <w:szCs w:val="20"/>
        </w:rPr>
        <w:t xml:space="preserve">Jurisdiction variability. Documentation standards and legal requirements differ across jurisdictions and regulatory frameworks. Local requirements govern.</w:t>
      </w:r>
    </w:p>
    <w:p>
      <w:pPr>
        <w:spacing w:after="0" w:before="60"/>
      </w:pPr>
    </w:p>
    <w:p>
      <w:pPr>
        <w:spacing w:after="100" w:before="100"/>
        <w:jc w:val="left"/>
      </w:pPr>
      <w:r>
        <w:rPr>
          <w:rFonts w:ascii="Arial" w:cs="Arial" w:eastAsia="Arial" w:hAnsi="Arial"/>
          <w:b w:val="false"/>
          <w:bCs w:val="false"/>
          <w:i w:val="false"/>
          <w:iCs w:val="false"/>
          <w:color w:val="1A1A1A"/>
          <w:sz w:val="20"/>
          <w:szCs w:val="20"/>
        </w:rPr>
        <w:t xml:space="preserve">Operational context. Designed for use under reasonable operational constraints. Reviewer judgment is not replaced. Staffing pressure, incomplete records, and varying reviewer skill are day-to-day realities this reference addresses but cannot eliminate.</w:t>
      </w:r>
    </w:p>
    <w:p>
      <w:pPr>
        <w:spacing w:after="0" w:before="60"/>
      </w:pPr>
    </w:p>
    <w:p>
      <w:pPr>
        <w:spacing w:after="100" w:before="100"/>
        <w:jc w:val="left"/>
      </w:pPr>
      <w:r>
        <w:rPr>
          <w:rFonts w:ascii="Arial" w:cs="Arial" w:eastAsia="Arial" w:hAnsi="Arial"/>
          <w:b w:val="false"/>
          <w:bCs w:val="false"/>
          <w:i w:val="false"/>
          <w:iCs w:val="false"/>
          <w:color w:val="1A1A1A"/>
          <w:sz w:val="20"/>
          <w:szCs w:val="20"/>
        </w:rPr>
        <w:t xml:space="preserve">Illustrative examples. Workflow models, failure mode examples, and implementation maturity descriptions are illustrative and may be adapted to organizational context.</w:t>
      </w:r>
    </w:p>
    <w:p>
      <w:pPr>
        <w:spacing w:after="0" w:before="120"/>
      </w:pPr>
    </w:p>
    <w:p>
      <w:pPr>
        <w:pBdr>
          <w:bottom w:val="single" w:color="B8A060" w:sz="8" w:space="1"/>
        </w:pBdr>
        <w:spacing w:after="120" w:before="120"/>
      </w:pPr>
    </w:p>
    <w:p>
      <w:pPr>
        <w:spacing w:after="0" w:before="120"/>
      </w:pPr>
    </w:p>
    <w:p>
      <w:pPr>
        <w:spacing w:after="40" w:before="0"/>
        <w:jc w:val="center"/>
      </w:pPr>
      <w:r>
        <w:rPr>
          <w:rFonts w:ascii="Arial" w:cs="Arial" w:eastAsia="Arial" w:hAnsi="Arial"/>
          <w:b/>
          <w:bCs/>
          <w:color w:val="1A1A1A"/>
          <w:sz w:val="22"/>
          <w:szCs w:val="22"/>
        </w:rPr>
        <w:t xml:space="preserve">Phillip Wikes, M.S.</w:t>
      </w:r>
    </w:p>
    <w:p>
      <w:pPr>
        <w:spacing w:after="40" w:before="0"/>
        <w:jc w:val="center"/>
      </w:pPr>
      <w:r>
        <w:rPr>
          <w:rFonts w:ascii="Arial" w:cs="Arial" w:eastAsia="Arial" w:hAnsi="Arial"/>
          <w:i/>
          <w:iCs/>
          <w:color w:val="555555"/>
          <w:sz w:val="19"/>
          <w:szCs w:val="19"/>
        </w:rPr>
        <w:t xml:space="preserve">Former Lead Civil Rights Officer, Maryland Commission on Civil Rights</w:t>
      </w:r>
    </w:p>
    <w:p>
      <w:pPr>
        <w:spacing w:after="40" w:before="0"/>
        <w:jc w:val="center"/>
      </w:pPr>
      <w:r>
        <w:rPr>
          <w:rFonts w:ascii="Arial" w:cs="Arial" w:eastAsia="Arial" w:hAnsi="Arial"/>
          <w:i/>
          <w:iCs/>
          <w:color w:val="555555"/>
          <w:sz w:val="19"/>
          <w:szCs w:val="19"/>
        </w:rPr>
        <w:t xml:space="preserve">AI Governance and Cognitive Risk Advisor</w:t>
      </w:r>
    </w:p>
    <w:p>
      <w:pPr>
        <w:spacing w:after="0" w:before="60"/>
      </w:pPr>
    </w:p>
    <w:p>
      <w:pPr>
        <w:spacing w:after="0" w:before="0"/>
        <w:jc w:val="center"/>
      </w:pPr>
      <w:r>
        <w:rPr>
          <w:rFonts w:ascii="Arial" w:cs="Arial" w:eastAsia="Arial" w:hAnsi="Arial"/>
          <w:color w:val="888888"/>
          <w:sz w:val="17"/>
          <w:szCs w:val="17"/>
        </w:rPr>
        <w:t xml:space="preserve">JRS™ Documentation Review Structure  |  Document 001-INV  |  Version 1.0  |  Effective May 2026  |  © 2026 Phillip Wikes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8B6914"/>
      </w:rPr>
    </w:lvl>
  </w:abstractNum>
  <w:abstractNum w:abstractNumId="3" w15:restartNumberingAfterBreak="0">
    <w:multiLevelType w:val="hybridMultilevel"/>
    <w:lvl w:ilvl="0" w15:tentative="1">
      <w:start w:val="1"/>
      <w:numFmt w:val="decimal"/>
      <w:lvlText w:val="%1."/>
      <w:lvlJc w:val="left"/>
      <w:pPr>
        <w:spacing w:after="80" w:before="80"/>
        <w:ind w:left="540" w:hanging="300"/>
      </w:pPr>
      <w:rPr>
        <w:rFonts w:ascii="Arial" w:cs="Arial" w:eastAsia="Arial" w:hAnsi="Arial"/>
        <w:b/>
        <w:bCs/>
        <w:color w:val="8B6914"/>
      </w:rPr>
    </w:lvl>
  </w:abstractNum>
  <w:abstractNum w:abstractNumId="4" w15:restartNumberingAfterBreak="0">
    <w:multiLevelType w:val="hybridMultilevel"/>
    <w:lvl w:ilvl="0" w15:tentative="1">
      <w:start w:val="1"/>
      <w:numFmt w:val="decimal"/>
      <w:lvlText w:val="%1."/>
      <w:lvlJc w:val="left"/>
      <w:pPr>
        <w:spacing w:after="80" w:before="80"/>
        <w:ind w:left="540" w:hanging="300"/>
      </w:pPr>
      <w:rPr>
        <w:rFonts w:ascii="Arial" w:cs="Arial" w:eastAsia="Arial" w:hAnsi="Arial"/>
        <w:b/>
        <w:bCs/>
        <w:color w:val="8B691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2026-05-15T00:36:25.756Z</dcterms:created>
  <dcterms:modified xsi:type="dcterms:W3CDTF">2026-05-15T00:36:25.756Z</dcterms:modified>
</cp:coreProperties>
</file>

<file path=docProps/custom.xml><?xml version="1.0" encoding="utf-8"?>
<Properties xmlns="http://schemas.openxmlformats.org/officeDocument/2006/custom-properties" xmlns:vt="http://schemas.openxmlformats.org/officeDocument/2006/docPropsVTypes"/>
</file>