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the record cannot show why a consequential decision was made, the decision may still have been correct, but the organisation can no longer prove it.</w:t>
      </w:r>
    </w:p>
    <w:p>
      <w:pPr>
        <w:spacing w:after="140"/>
      </w:pPr>
      <w:r>
        <w:t xml:space="preserve">Generative AI can make that gap easier to create. A drafted narrative may read as finished even when the material that would substantiate it has not been preserved. </w:t>
      </w:r>
      <w:r>
        <w:rPr>
          <w:b/>
        </w:rPr>
        <w:t xml:space="preserve">That is a forward-looking concern, not a finding of this study.</w:t>
      </w:r>
      <w:r>
        <w:t xml:space="preserve"> The corpus was not selected for AI involvement, </w:t>
      </w:r>
      <w:r>
        <w:rPr>
          <w:b/>
        </w:rPr>
        <w:t xml:space="preserve">no case in it is shown to have been AI-drafted</w:t>
      </w:r>
      <w:r>
        <w:t xml:space="preserve">, and two of the three jurisdictional systems predate generative drafting. The question tested here is whether the review distinguishes records that can independently support their conclusions from records that cannot, regardless of how the record was produced.</w:t>
      </w:r>
    </w:p>
    <w:p>
      <w:pPr>
        <w:spacing w:after="140"/>
      </w:pPr>
      <w:r>
        <w:t xml:space="preserve">We call the condition Decision Reconstruction Risk: the state a record is in when it can no longer show, on its own terms, why a consequential decision was reached.</w:t>
      </w:r>
    </w:p>
    <w:p>
      <w:pPr>
        <w:spacing w:after="140"/>
      </w:pPr>
      <w:r>
        <w:t xml:space="preserve">This article reports what happened when one of us applied a structured review to 22 real adjudicated employment matters, recorded the review before consulting how each matter resolved, and then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follows from the conditions by rule rather than overall impression. Inter-rater repeatability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w:t>
      </w:r>
    </w:p>
    <w:p>
      <w:pPr>
        <w:spacing w:after="140"/>
      </w:pPr>
      <w:r>
        <w:t xml:space="preserve">states what was alleged, sources each factual claim, shows dates that reconcile, names who</w:t>
      </w:r>
    </w:p>
    <w:p>
      <w:pPr>
        <w:spacing w:after="140"/>
      </w:pPr>
      <w:r>
        <w:t xml:space="preserve">decided what and on what basis, and carries enough underlying material for a reader to test</w:t>
      </w:r>
    </w:p>
    <w:p>
      <w:pPr>
        <w:spacing w:after="140"/>
      </w:pPr>
      <w:r>
        <w:t xml:space="preserve">the conclusion. In this corpus, Ready records typically quoted the original documentation</w:t>
      </w:r>
    </w:p>
    <w:p>
      <w:pPr>
        <w:spacing w:after="140"/>
      </w:pPr>
      <w:r>
        <w:t xml:space="preserve">rather than summarising it.</w:t>
      </w:r>
    </w:p>
    <w:p>
      <w:pPr>
        <w:spacing w:after="140"/>
      </w:pPr>
      <w:r>
        <w:t xml:space="preserve">A record reads </w:t>
      </w:r>
      <w:r>
        <w:rPr>
          <w:b/>
        </w:rPr>
        <w:t xml:space="preserve">Needs work</w:t>
      </w:r>
      <w:r>
        <w:t xml:space="preserve"> when part of the basis is visible and part is asserted. The</w:t>
      </w:r>
    </w:p>
    <w:p>
      <w:pPr>
        <w:spacing w:after="140"/>
      </w:pPr>
      <w:r>
        <w:t xml:space="preserve">narrative is coherent, but at least one material claim traces to nothing a reader can check.</w:t>
      </w:r>
    </w:p>
    <w:p>
      <w:pPr>
        <w:spacing w:after="140"/>
      </w:pPr>
      <w:r>
        <w:t xml:space="preserve">The commonest form here was a conclusion about performance or conduct stated confidently,</w:t>
      </w:r>
    </w:p>
    <w:p>
      <w:pPr>
        <w:spacing w:after="140"/>
      </w:pPr>
      <w:r>
        <w:t xml:space="preserve">with the underlying observations described only in the drafter's own summary.</w:t>
      </w:r>
    </w:p>
    <w:p>
      <w:pPr>
        <w:spacing w:after="140"/>
      </w:pPr>
      <w:r>
        <w:t xml:space="preserve">A record reads </w:t>
      </w:r>
      <w:r>
        <w:rPr>
          <w:b/>
        </w:rPr>
        <w:t xml:space="preserve">Gap</w:t>
      </w:r>
      <w:r>
        <w:t xml:space="preserve"> when the basis is not in the file at all: the conclusion is present</w:t>
      </w:r>
    </w:p>
    <w:p>
      <w:pPr>
        <w:spacing w:after="140"/>
      </w:pPr>
      <w:r>
        <w:t xml:space="preserve">without the material that produced it. These are rarer and readily identifiable, since the</w:t>
      </w:r>
    </w:p>
    <w:p>
      <w:pPr>
        <w:spacing w:after="140"/>
      </w:pPr>
      <w:r>
        <w:t xml:space="preserve">record asserts an outcome and offers nothing behind it.</w:t>
      </w:r>
    </w:p>
    <w:p>
      <w:pPr>
        <w:spacing w:after="140"/>
      </w:pPr>
      <w:r>
        <w:t xml:space="preserve">For AI-assisted drafting, Needs work may be the more difficult failure mode to detect. A Gap</w:t>
      </w:r>
    </w:p>
    <w:p>
      <w:pPr>
        <w:spacing w:after="140"/>
      </w:pPr>
      <w:r>
        <w:t xml:space="preserve">record looks thin to anyone who opens it. A Needs work record can read well, follow the</w:t>
      </w:r>
    </w:p>
    <w:p>
      <w:pPr>
        <w:spacing w:after="140"/>
      </w:pPr>
      <w:r>
        <w:t xml:space="preserve">template and still contain material claims that cannot be independently checked, which can</w:t>
      </w:r>
    </w:p>
    <w:p>
      <w:pPr>
        <w:spacing w:after="140"/>
      </w:pPr>
      <w:r>
        <w:t xml:space="preserve">make it harder to detect during routine file-by-file review and more consequential when the</w:t>
      </w:r>
    </w:p>
    <w:p>
      <w:pPr>
        <w:spacing w:after="140"/>
      </w:pPr>
      <w:r>
        <w:t xml:space="preserve">record is later examined.</w:t>
      </w:r>
    </w:p>
    <w:p>
      <w:pPr>
        <w:pStyle w:val="Heading2"/>
        <w:spacing w:after="140"/>
      </w:pPr>
      <w:r>
        <w:t xml:space="preserve">What was tested</w:t>
      </w:r>
    </w:p>
    <w:p>
      <w:pPr>
        <w:spacing w:after="140"/>
      </w:pPr>
      <w:r>
        <w:t xml:space="preserve">Twenty-two adjudicated employment and labour matters, from 22 distinct public sources, across three jurisdictional systems: United States Supreme Court decisions, United States Federal Labor Relations Authority decisions, and United Kingdom Employment Tribunal judgments.</w:t>
      </w:r>
      <w:r>
        <w:rPr>
          <w:vertAlign w:val="superscript"/>
        </w:rPr>
        <w:t xml:space="preserve">1</w:t>
      </w:r>
    </w:p>
    <w:p>
      <w:pPr>
        <w:spacing w:after="140"/>
      </w:pPr>
      <w:r>
        <w:t xml:space="preserve">For each case, a practising employment specialist read the employer's record as it appeared in the decision and applied the five conditions. The review classification was recorded before the documented outcome was consulted. The outcome and supporting citation were then entered from the published decision.</w:t>
      </w:r>
      <w:r>
        <w:rPr>
          <w:vertAlign w:val="superscript"/>
        </w:rPr>
        <w:t xml:space="preserve">2</w:t>
      </w:r>
    </w:p>
    <w:p>
      <w:pPr>
        <w:spacing w:after="140"/>
      </w:pPr>
      <w:r>
        <w:rPr>
          <w:b/>
        </w:rPr>
        <w:t xml:space="preserve">That design carries a circularity objection, and it is the first thing a careful reader should raise.</w:t>
      </w:r>
      <w:r>
        <w:t xml:space="preserve"> The employer's record was read as it appears inside the adjudicated decision, and that decision both narrates the outcome and characterises the employer's evidence, so the reviewer worked from a source already containing the outcome being assessed. The database stores one timestamp per case rather than two, so the ordering rests on the protocol rather than a system record.</w:t>
      </w:r>
    </w:p>
    <w:p>
      <w:pPr>
        <w:spacing w:after="140"/>
      </w:pPr>
      <w:r>
        <w:rPr>
          <w:b/>
        </w:rPr>
        <w:t xml:space="preserve">The objection is not answered here and must not be treated as answered.</w:t>
      </w:r>
      <w:r>
        <w:t xml:space="preserve"> The association is consistent with a documentation deficiency an adjudicator also noticed, and equally consistent with reviewer influence from information in the decision. Separating those requires a design this study did not use: independent timestamping of the two steps, a second blinded reader, or employer records obtained before adjudication.</w:t>
      </w:r>
    </w:p>
    <w:p>
      <w:pPr>
        <w:spacing w:after="140"/>
      </w:pPr>
      <w:r>
        <w:t xml:space="preserve">This is a single-practitioner field pilot: one qualified specialist, one caseload, applied inside an ordinary workload. The findings are reported at that level.</w:t>
      </w:r>
    </w:p>
    <w:p>
      <w:pPr>
        <w:spacing w:after="140"/>
      </w:pPr>
      <w:r>
        <w:t xml:space="preserve">The reads came out at 13 Ready, 6 Needs work, 3 Gap. The outcomes came out at 7 sustained, 7 that did not survive review, 6 contested with no recorded disposition, and 2 adverse audit or compliance findings.</w:t>
      </w:r>
    </w:p>
    <w:p>
      <w:pPr>
        <w:pStyle w:val="Heading2"/>
        <w:spacing w:after="140"/>
      </w:pPr>
      <w:r>
        <w:t xml:space="preserve">What was found</w:t>
      </w:r>
    </w:p>
    <w:p>
      <w:pPr>
        <w:spacing w:after="140"/>
      </w:pPr>
      <w:r>
        <w:t xml:space="preserve">Needs work and Gap are grouped, since both describe a record whose basis is incomplete. An adverse finding means a matter that did not survive review or drew an adverse audit finding.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9)</w:t>
            </w:r>
          </w:p>
        </w:tc>
        <w:tc>
          <w:tcPr>
            <w:tcW w:w="2340" w:type="dxa"/>
          </w:tcPr>
          <w:p>
            <w:pPr>
              <w:spacing w:after="0"/>
            </w:pPr>
            <w:r>
              <w:t xml:space="preserve">7</w:t>
            </w:r>
          </w:p>
        </w:tc>
        <w:tc>
          <w:tcPr>
            <w:tcW w:w="2340" w:type="dxa"/>
          </w:tcPr>
          <w:p>
            <w:pPr>
              <w:spacing w:after="0"/>
            </w:pPr>
            <w:r>
              <w:t xml:space="preserve">2</w:t>
            </w:r>
          </w:p>
        </w:tc>
        <w:tc>
          <w:tcPr>
            <w:tcW w:w="2340" w:type="dxa"/>
          </w:tcPr>
          <w:p>
            <w:pPr>
              <w:spacing w:after="0"/>
            </w:pPr>
            <w:r>
              <w:t xml:space="preserve">77.8%</w:t>
            </w:r>
          </w:p>
        </w:tc>
      </w:tr>
      <w:tr>
        <w:tc>
          <w:tcPr>
            <w:tcW w:w="2340" w:type="dxa"/>
          </w:tcPr>
          <w:p>
            <w:pPr>
              <w:spacing w:after="0"/>
            </w:pPr>
            <w:r>
              <w:t xml:space="preserve">Ready (n = 13)</w:t>
            </w:r>
          </w:p>
        </w:tc>
        <w:tc>
          <w:tcPr>
            <w:tcW w:w="2340" w:type="dxa"/>
          </w:tcPr>
          <w:p>
            <w:pPr>
              <w:spacing w:after="0"/>
            </w:pPr>
            <w:r>
              <w:t xml:space="preserve">2</w:t>
            </w:r>
          </w:p>
        </w:tc>
        <w:tc>
          <w:tcPr>
            <w:tcW w:w="2340" w:type="dxa"/>
          </w:tcPr>
          <w:p>
            <w:pPr>
              <w:spacing w:after="0"/>
            </w:pPr>
            <w:r>
              <w:t xml:space="preserve">11</w:t>
            </w:r>
          </w:p>
        </w:tc>
        <w:tc>
          <w:tcPr>
            <w:tcW w:w="2340" w:type="dxa"/>
          </w:tcPr>
          <w:p>
            <w:pPr>
              <w:spacing w:after="0"/>
            </w:pPr>
            <w:r>
              <w:t xml:space="preserve">15.4%</w:t>
            </w:r>
          </w:p>
        </w:tc>
      </w:tr>
    </w:tbl>
    <w:p>
      <w:pPr/>
      <w:r>
        <w:t/>
      </w:r>
    </w:p>
    <w:p>
      <w:pPr>
        <w:spacing w:after="140"/>
      </w:pPr>
      <w:r>
        <w:t xml:space="preserve">Fisher's exact test, two-sided: </w:t>
      </w:r>
      <w:r>
        <w:rPr>
          <w:b/>
        </w:rPr>
        <w:t xml:space="preserve">p = 0.0073</w:t>
      </w:r>
      <w:r>
        <w:t xml:space="preserve">.</w:t>
      </w:r>
      <w:r>
        <w:rPr>
          <w:vertAlign w:val="superscript"/>
        </w:rPr>
        <w:t xml:space="preserve">3</w:t>
      </w:r>
    </w:p>
    <w:p>
      <w:pPr>
        <w:spacing w:after="140"/>
      </w:pPr>
      <w:r>
        <w:t xml:space="preserve">Records classified as incomplete were associated with an adverse finding in 77.8 percent of cases, compared with 15.4 percent of records classified as Ready.</w:t>
      </w:r>
    </w:p>
    <w:p>
      <w:pPr>
        <w:spacing w:after="140"/>
      </w:pPr>
      <w:r>
        <w:t xml:space="preserve">The result depends on how an adverse outcome is defined, and no rule for defining it was fixed before the data closed. Restricting to the 16 matters with a resolved disposition and asking only whether the employer's position was sustained gives p = 0.041. Counting an unresolved contest as not sustained across all 22 gives p = 0.165, which is not significant.</w:t>
      </w:r>
    </w:p>
    <w:p>
      <w:pPr>
        <w:spacing w:after="140"/>
      </w:pPr>
      <w:r>
        <w:t xml:space="preserve">The direction of the association is unchanged across the three specifications, but the statistical result depends materially on how unresolved matters are treated. The evidence therefore supports treating the finding as a control signal rather than as evidence of predictive validity. How to treat a contested matter with no recorded disposition is a question about employment adjudication rather than about this dataset, and it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where it did not track outcomes at all.</w:t>
      </w:r>
    </w:p>
    <w:p>
      <w:pPr>
        <w:spacing w:after="140"/>
      </w:pPr>
      <w:r>
        <w:t xml:space="preserve">Freedom-of-information determinations reach publication because a legal question was live, not because the file was thin. Fifteen of the 20 resolved determinations there did not survive, a rate set by the publication process rather than by how those agencies documented. The employment corpus is not filtered that way, and its outcomes are close to evenly split.</w:t>
      </w:r>
    </w:p>
    <w:p>
      <w:pPr>
        <w:spacing w:after="140"/>
      </w:pPr>
      <w:r>
        <w:t xml:space="preserve">A formal test of homogeneity shows the two results do not differ significantly from each other.</w:t>
      </w:r>
      <w:r>
        <w:rPr>
          <w:vertAlign w:val="superscript"/>
        </w:rPr>
        <w:t xml:space="preserve">4</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and financial-crime functions may encounter the same underlying problem before litigation: whether the record supports the conclusion it presents. That is the question the review asks, put before the examiner arrives rather than after.</w:t>
      </w:r>
    </w:p>
    <w:p>
      <w:pPr>
        <w:spacing w:after="140"/>
      </w:pPr>
      <w:r>
        <w:t xml:space="preserve">Three failure patterns recur, each mapping to a way AI-assisted drafting can introduce the risk. </w:t>
      </w:r>
      <w:r>
        <w:rPr>
          <w:b/>
        </w:rPr>
        <w:t xml:space="preserve">They are general patterns in audit and investigations practice. They are not drawn from, and do not describe, any client engagement, examination, or the records of any organisation.</w:t>
      </w:r>
    </w:p>
    <w:p>
      <w:pPr>
        <w:spacing w:after="140"/>
      </w:pPr>
      <w:r>
        <w:rPr>
          <w:b/>
        </w:rPr>
        <w:t xml:space="preserve">Narrative substitution.</w:t>
      </w:r>
      <w:r>
        <w:t xml:space="preserve"> A decision is challenged and the organisation cannot produce underlying documentation beyond the drafted narrative. The source material that would have supported the conclusion, such as logs, communications and measurable observations, was never attached because the narrative read as complete without it. In discovery or audit the absence of that material becomes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exactly, while every substantive claim rests on drafted phrasing rather than documented observation. Examined individually each file looks compliant; examined across a population the same fluent, evidence-free construction repeats. At population level this can indicate a broader control weakness requiring further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leaving no documented check on the reasoning. Nothing shows that a second person tested the basis before it became official. Under examination the absence of a review step affects the credibility of the wider process rather than that single decision.</w:t>
      </w:r>
    </w:p>
    <w:p>
      <w:pPr>
        <w:spacing w:after="140"/>
      </w:pPr>
      <w:r>
        <w:t xml:space="preserve">In audit terms the review functions as a record-level control test with a testable pass condition. A file that fails it is not necessarily a wrong decision, but it is an exposure that can be remediated inside the workflow rather than in a deposition. That is what makes documentation quality usable as a control rather than a matter of style.</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2"/>
        </w:numPr>
        <w:spacing w:after="60"/>
      </w:pPr>
      <w:r>
        <w:rPr>
          <w:b/>
        </w:rPr>
        <w:t xml:space="preserve">Anchor every material claim to independently verifiable source evidence</w:t>
      </w:r>
      <w:r>
        <w:t xml:space="preserve"> that existed before drafting, such as logs, communications and measurable data, rather than to a drafted assertion.</w:t>
      </w:r>
    </w:p>
    <w:p>
      <w:pPr>
        <w:numPr>
          <w:ilvl w:val="0"/>
          <w:numId w:val="2"/>
        </w:numPr>
        <w:spacing w:after="60"/>
      </w:pPr>
      <w:r>
        <w:rPr>
          <w:b/>
        </w:rPr>
        <w:t xml:space="preserve">Treat AI output as unverified draft material</w:t>
      </w:r>
      <w:r>
        <w:t xml:space="preserve"> until independently substantiated.</w:t>
      </w:r>
    </w:p>
    <w:p>
      <w:pPr>
        <w:numPr>
          <w:ilvl w:val="0"/>
          <w:numId w:val="2"/>
        </w:numPr>
        <w:spacing w:after="60"/>
      </w:pPr>
      <w:r>
        <w:rPr>
          <w:b/>
        </w:rPr>
        <w:t xml:space="preserve">Eliminate proxy language.</w:t>
      </w:r>
      <w:r>
        <w:t xml:space="preserve"> Describe observable conduct rather than interpretation. Repeated subjective descriptors can warrant further review for potential bias or discrimination risk when a population of files is examined side by side.</w:t>
      </w:r>
    </w:p>
    <w:p>
      <w:pPr>
        <w:numPr>
          <w:ilvl w:val="0"/>
          <w:numId w:val="2"/>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make the set measurable on a sample, flag and remediate cadence: the percentage of claims supported by documented evidence, the rate of claims lacking documentation, and the frequency of subjective language across files and authors. These are operational indicators of documentation weakness that can help identify potential legal or compliance exposure, rather than a documentation-tidiness score.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defence?</w:t>
      </w:r>
      <w:r>
        <w:t xml:space="preserve"> The review is cheapest to apply before a record is finalised, so its preventive value sits</w:t>
      </w:r>
    </w:p>
    <w:p>
      <w:pPr>
        <w:spacing w:after="140"/>
      </w:pPr>
      <w:r>
        <w:t xml:space="preserve">at the first line as a drafter self-check and at the second line as a sampling control by</w:t>
      </w:r>
    </w:p>
    <w:p>
      <w:pPr>
        <w:spacing w:after="140"/>
      </w:pPr>
      <w:r>
        <w:t xml:space="preserve">compliance or risk.</w:t>
      </w:r>
    </w:p>
    <w:p>
      <w:pPr>
        <w:spacing w:after="140"/>
      </w:pPr>
      <w:r>
        <w:t xml:space="preserve">That is not an argument that internal audit has no role, and the third line arguably has the</w:t>
      </w:r>
    </w:p>
    <w:p>
      <w:pPr>
        <w:spacing w:after="140"/>
      </w:pPr>
      <w:r>
        <w:t xml:space="preserve">most useful one. Applied to a population of closed files, the five conditions yield a</w:t>
      </w:r>
    </w:p>
    <w:p>
      <w:pPr>
        <w:spacing w:after="140"/>
      </w:pPr>
      <w:r>
        <w:t xml:space="preserve">measured rate of records that cannot carry their own reasoning, broken out by decision type</w:t>
      </w:r>
    </w:p>
    <w:p>
      <w:pPr>
        <w:spacing w:after="140"/>
      </w:pPr>
      <w:r>
        <w:t xml:space="preserve">and business unit. That is a finding about the control environment rather than any individual</w:t>
      </w:r>
    </w:p>
    <w:p>
      <w:pPr>
        <w:spacing w:after="140"/>
      </w:pPr>
      <w:r>
        <w:t xml:space="preserve">file, and it is what justifies a preventive check at all.</w:t>
      </w:r>
    </w:p>
    <w:p>
      <w:pPr>
        <w:spacing w:after="140"/>
      </w:pPr>
      <w:r>
        <w:t xml:space="preserve">In practice, third-line testing is primarily diagnostic, while first and second-line</w:t>
      </w:r>
    </w:p>
    <w:p>
      <w:pPr>
        <w:spacing w:after="140"/>
      </w:pPr>
      <w:r>
        <w:t xml:space="preserve">application is primarily preventive. A population-level diagnosis can then inform where</w:t>
      </w:r>
    </w:p>
    <w:p>
      <w:pPr>
        <w:spacing w:after="140"/>
      </w:pPr>
      <w:r>
        <w:t xml:space="preserve">preventive controls should be strengthened.</w:t>
      </w:r>
    </w:p>
    <w:p>
      <w:pPr>
        <w:spacing w:after="140"/>
      </w:pPr>
      <w:r>
        <w:rPr>
          <w:b/>
        </w:rPr>
        <w:t xml:space="preserve">What sample size?</w:t>
      </w:r>
      <w:r>
        <w:t xml:space="preserve"> This study cannot establish a periodic control sample size. The 22</w:t>
      </w:r>
    </w:p>
    <w:p>
      <w:pPr>
        <w:spacing w:after="140"/>
      </w:pPr>
      <w:r>
        <w:t xml:space="preserve">matters constituted the full study corpus rather than a statistically designed sample drawn</w:t>
      </w:r>
    </w:p>
    <w:p>
      <w:pPr>
        <w:spacing w:after="140"/>
      </w:pPr>
      <w:r>
        <w:t xml:space="preserve">against a stated tolerable error and confidence level. Build the sampling plan in the ordinary way, from the population of</w:t>
      </w:r>
    </w:p>
    <w:p>
      <w:pPr>
        <w:spacing w:after="140"/>
      </w:pPr>
      <w:r>
        <w:t xml:space="preserve">consequential decisions in scope, using whatever sampling standard the function already</w:t>
      </w:r>
    </w:p>
    <w:p>
      <w:pPr>
        <w:spacing w:after="140"/>
      </w:pPr>
      <w:r>
        <w:t xml:space="preserve">applies. The unit of analysis is the record. A periodic sample, sized to the relevant population and</w:t>
      </w:r>
    </w:p>
    <w:p>
      <w:pPr>
        <w:spacing w:after="140"/>
      </w:pPr>
      <w:r>
        <w:t xml:space="preserve">weighted toward consequential decisions such as terminations, disciplinary outcomes and</w:t>
      </w:r>
    </w:p>
    <w:p>
      <w:pPr>
        <w:spacing w:after="140"/>
      </w:pPr>
      <w:r>
        <w:t xml:space="preserve">denials of accommodation, would generally be more informative than a larger unweighted</w:t>
      </w:r>
    </w:p>
    <w:p>
      <w:pPr>
        <w:spacing w:after="140"/>
      </w:pPr>
      <w:r>
        <w:t xml:space="preserve">sample. The aggregate view matters more than any individual file, because patterned</w:t>
      </w:r>
    </w:p>
    <w:p>
      <w:pPr>
        <w:spacing w:after="140"/>
      </w:pPr>
      <w:r>
        <w:t xml:space="preserve">compliance is visible only across a population.</w:t>
      </w:r>
    </w:p>
    <w:p>
      <w:pPr>
        <w:spacing w:after="140"/>
      </w:pPr>
      <w:r>
        <w:rPr>
          <w:b/>
        </w:rPr>
        <w:t xml:space="preserve">What triggers escalation?</w:t>
      </w:r>
      <w:r>
        <w:t xml:space="preserve"> A single Needs work classification is a coaching conversation.</w:t>
      </w:r>
    </w:p>
    <w:p>
      <w:pPr>
        <w:spacing w:after="140"/>
      </w:pPr>
      <w:r>
        <w:t xml:space="preserve">A rate that is rising, or that clusters by author, business unit or subject, is a control</w:t>
      </w:r>
    </w:p>
    <w:p>
      <w:pPr>
        <w:spacing w:after="140"/>
      </w:pPr>
      <w:r>
        <w:t xml:space="preserve">finding. The second is the more important control signal, but it cannot be identified</w:t>
      </w:r>
    </w:p>
    <w:p>
      <w:pPr>
        <w:spacing w:after="140"/>
      </w:pPr>
      <w:r>
        <w:t xml:space="preserve">reliably unless the first is recorded consistently.</w:t>
      </w:r>
    </w:p>
    <w:p>
      <w:pPr>
        <w:spacing w:after="140"/>
      </w:pPr>
      <w:r>
        <w:rPr>
          <w:b/>
        </w:rPr>
        <w:t xml:space="preserve">One caution on adoption.</w:t>
      </w:r>
      <w:r>
        <w:t xml:space="preserve"> A review applied by the person who drafted the record carries</w:t>
      </w:r>
    </w:p>
    <w:p>
      <w:pPr>
        <w:spacing w:after="140"/>
      </w:pPr>
      <w:r>
        <w:t xml:space="preserve">less weight than one applied by somebody else, for the same reason a self-assessment carries</w:t>
      </w:r>
    </w:p>
    <w:p>
      <w:pPr>
        <w:spacing w:after="140"/>
      </w:pPr>
      <w:r>
        <w:t xml:space="preserve">less weight than an inspection. Where the review is used at the first line, treat it as a</w:t>
      </w:r>
    </w:p>
    <w:p>
      <w:pPr>
        <w:spacing w:after="140"/>
      </w:pPr>
      <w:r>
        <w:t xml:space="preserve">drafting discipline rather than as assurance, and keep the second-line sample independent of</w:t>
      </w:r>
    </w:p>
    <w:p>
      <w:pPr>
        <w:spacing w:after="140"/>
      </w:pPr>
      <w:r>
        <w:t xml:space="preserve">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real adjudicated matters, using a review a working specialist can apply inside an ordinary workload.</w:t>
      </w:r>
    </w:p>
    <w:p>
      <w:pPr>
        <w:spacing w:after="140"/>
      </w:pPr>
      <w:r>
        <w:t xml:space="preserve">It does not establish that the review improves outcomes, reduces litigation risk or increases decision quality, none of which was tested. Twenty-two cases from one practitioner's caseload, selected from published sources rather than sampled at random, is a field pilot and is reported as one. Published adjudications are not a random sample of employment records, since a matter reaches adjudication because something was contested.</w:t>
      </w:r>
    </w:p>
    <w:p>
      <w:pPr>
        <w:spacing w:after="140"/>
      </w:pPr>
      <w:r>
        <w:t xml:space="preserve">A larger study should broaden the corpus without regard to how matters resolved, put at least two reviewers on each case with the classification and the outcome recorded separately, and fix the treatment of unresolved contests in advance.</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numPr>
          <w:ilvl w:val="0"/>
          <w:numId w:val="2"/>
        </w:numPr>
        <w:spacing w:after="60"/>
      </w:pPr>
      <w:r>
        <w:t xml:space="preserve">The corpus comprises 22 adjudicated matters drawn from 22 distinct published decisions across three jurisdictional systems: United States Supreme Court decisions, United States Federal Labor Relations Authority decisions, and United Kingdom Employment Tribunal judgments, collected between 22 June and 29 July 2026. Each case carries its own published citation in the study record. Case counts, classifications and outcomes were verified against the study database on 21 August 2026.</w:t>
      </w:r>
    </w:p>
    <w:p>
      <w:pPr>
        <w:spacing w:after="140"/>
      </w:pPr>
      <w:r>
        <w:rPr>
          <w:b/>
        </w:rPr>
        <w:t xml:space="preserve">Protocol limitations</w:t>
      </w:r>
    </w:p>
    <w:p>
      <w:pPr>
        <w:numPr>
          <w:ilvl w:val="0"/>
          <w:numId w:val="2"/>
        </w:numPr>
        <w:spacing w:after="60"/>
      </w:pPr>
      <w:r>
        <w:t xml:space="preserve">The protocol required the review classification to be recorded before the documented outcome was consulted. The study database records one timestamp per case rather than separate review and outcome times, so the recorded sequence rests on the study protocol rather than on a system record. A larger study should timestamp the two steps separately and use a second reviewer blinded to the outcome.</w:t>
      </w:r>
    </w:p>
    <w:p>
      <w:pPr>
        <w:spacing w:after="140"/>
      </w:pPr>
      <w:r>
        <w:rPr>
          <w:b/>
        </w:rPr>
        <w:t xml:space="preserve">Statistical methods</w:t>
      </w:r>
    </w:p>
    <w:p>
      <w:pPr>
        <w:numPr>
          <w:ilvl w:val="0"/>
          <w:numId w:val="2"/>
        </w:numPr>
        <w:spacing w:after="60"/>
      </w:pPr>
      <w:r>
        <w:t xml:space="preserve">Association between the review classification and an adverse finding was tested with Fisher's exact test, two-sided, on the 2 x 2 table shown: p = 0.0073, odds ratio 19.25. The observed proportions with an adverse finding were 77.8 percent for records classified Needs work or Gap (7 of 9, 95 percent Wilson score interval 45.3 to 93.7 percent) and 15.4 percent for records classified Ready (2 of 13, 95 percent Wilson score interval 4.3 to 42.2 percent). Wilson score intervals are reported for these proportions because the cell counts are small and the normal approximation is unreliable at this sample size.</w:t>
      </w:r>
    </w:p>
    <w:p>
      <w:pPr>
        <w:numPr>
          <w:ilvl w:val="0"/>
          <w:numId w:val="2"/>
        </w:numPr>
        <w:spacing w:after="60"/>
      </w:pPr>
      <w:r>
        <w:t xml:space="preserve">Comparison with the public-records corpus used the Woolf test of homogeneity of odds ratios across the two corpora: Q = 2.550 on 1 degree of freedom, p = 0.110. The test does not establish equivalence; it fails to detect a difference at this sample size.</w:t>
      </w:r>
    </w:p>
    <w:p>
      <w:pPr>
        <w:spacing w:after="140"/>
      </w:pPr>
      <w:r>
        <w:rPr>
          <w:b/>
        </w:rPr>
        <w:t xml:space="preserve">Contributor methodology</w:t>
      </w:r>
    </w:p>
    <w:p>
      <w:pPr>
        <w:numPr>
          <w:ilvl w:val="0"/>
          <w:numId w:val="2"/>
        </w:numPr>
        <w:spacing w:after="60"/>
      </w:pPr>
      <w:r>
        <w:t xml:space="preserve">Ubayet Hossain, FRM, provided methodological guidance on the reference-panel design, the chance-corrected agreement framework and the prespecified acceptance thresholds, in a personal professional capacity. His contribution does not represent the views of any employer.</w:t>
      </w:r>
    </w:p>
    <w:p>
      <w:pPr>
        <w:spacing w:after="140"/>
      </w:pPr>
      <w:r>
        <w:rPr>
          <w:b/>
        </w:rPr>
        <w:t xml:space="preserve">Conflict disclosure</w:t>
      </w:r>
    </w:p>
    <w:p>
      <w:pPr>
        <w:numPr>
          <w:ilvl w:val="0"/>
          <w:numId w:val="2"/>
        </w:numPr>
        <w:spacing w:after="60"/>
      </w:pPr>
      <w:r>
        <w:t xml:space="preserve">Phillip Wikes developed the review method described here and would benefit from its adoption. He read no case in this corpus and recorded no classification and no outcome. He specified and ran the analyses reported in this article.</w:t>
      </w:r>
    </w:p>
    <w:p>
      <w:pPr>
        <w:pBdr>
          <w:bottom w:val="single" w:sz="6" w:space="1" w:color="AAAAAA"/>
        </w:pBdr>
      </w:pPr>
    </w:p>
    <w:p>
      <w:pPr>
        <w:spacing w:after="140"/>
      </w:pPr>
      <w:r>
        <w:rPr>
          <w:b/>
        </w:rPr>
        <w:t xml:space="preserve">Tanvi Pokhriyal</w:t>
      </w:r>
      <w:r>
        <w:t xml:space="preserve"> is an Organisational Psychologist working freelance. She is an HR and organisational psychology professional with over 15 years of experience across human resources, organisational development, business development, and marketing, including experience within the oil and gas sector. Her professional interests include organisational behaviour, employee relations, workplace decision-making, people management, and the evolving role of technology.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Acknowledgement</w:t>
      </w:r>
    </w:p>
    <w:p>
      <w:pPr>
        <w:spacing w:after="140"/>
      </w:pPr>
      <w:r>
        <w:t xml:space="preserve">The author thanks Kyle McMullan for comments on audit practice. He did not review the study</w:t>
      </w:r>
    </w:p>
    <w:p>
      <w:pPr>
        <w:spacing w:after="140"/>
      </w:pPr>
      <w:r>
        <w:t xml:space="preserve">and does not endorse its findings.</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w:t>
      </w:r>
    </w:p>
    <w:p>
      <w:pPr>
        <w:spacing w:after="140"/>
      </w:pPr>
      <w:r>
        <w:t xml:space="preserve">interest, ownership, investment, or other financial relationship that could influence or be</w:t>
      </w:r>
    </w:p>
    <w:p>
      <w:pPr>
        <w:spacing w:after="140"/>
      </w:pPr>
      <w:r>
        <w:t xml:space="preserve">perceived to influence the findings, interpretation, or conclusions of this research.</w:t>
      </w:r>
    </w:p>
    <w:p>
      <w:pPr>
        <w:spacing w:after="140"/>
      </w:pPr>
      <w:r>
        <w:t xml:space="preserve">Phillip Wikes developed the review method described here and would benefit from its</w:t>
      </w:r>
    </w:p>
    <w:p>
      <w:pPr>
        <w:spacing w:after="140"/>
      </w:pPr>
      <w:r>
        <w:t xml:space="preserve">adoption; that interest is set out in endnote 6.</w:t>
      </w:r>
    </w:p>
    <w:p>
      <w:pPr>
        <w:spacing w:after="140"/>
      </w:pPr>
      <w:r>
        <w:rPr>
          <w:b/>
        </w:rPr>
        <w:t xml:space="preserve">Research funding.</w:t>
      </w:r>
      <w:r>
        <w:t xml:space="preserve"> Tanvi Pokhriyal declares that this research was conducted without any</w:t>
      </w:r>
    </w:p>
    <w:p>
      <w:pPr>
        <w:spacing w:after="140"/>
      </w:pPr>
      <w:r>
        <w:t xml:space="preserve">external financial support or research funding, and that she has not received, directly or</w:t>
      </w:r>
    </w:p>
    <w:p>
      <w:pPr>
        <w:spacing w:after="140"/>
      </w:pPr>
      <w:r>
        <w:t xml:space="preserve">indirectly, any funding, sponsorship, grants, or commercial financial assistance for the</w:t>
      </w:r>
    </w:p>
    <w:p>
      <w:pPr>
        <w:spacing w:after="140"/>
      </w:pPr>
      <w:r>
        <w:t xml:space="preserve">preparation or completion of this research paper. No external funding was received by any</w:t>
      </w:r>
    </w:p>
    <w:p>
      <w:pPr>
        <w:spacing w:after="140"/>
      </w:pPr>
      <w:r>
        <w:t xml:space="preserve">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