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40"/>
      </w:pPr>
      <w:r>
        <w:t xml:space="preserve">Can the Basis Be Rebuilt? A Record-Level Documentation Quality Review of 32 Public-Records Cases</w:t>
      </w:r>
    </w:p>
    <w:p>
      <w:pPr>
        <w:spacing w:after="140"/>
      </w:pPr>
      <w:r>
        <w:t xml:space="preserve">Stacyann Young Independent Researcher</w:t>
      </w:r>
    </w:p>
    <w:p>
      <w:pPr>
        <w:spacing w:after="140"/>
      </w:pPr>
      <w:r>
        <w:t xml:space="preserve">Phillip Wikes Creator of the Justification Review Standard; former Lead Civil Rights Officer, Maryland Commission on Civil Rights</w:t>
      </w:r>
    </w:p>
    <w:p>
      <w:pPr>
        <w:spacing w:after="140"/>
      </w:pPr>
      <w:r>
        <w:t xml:space="preserve">Author contributions.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pPr>
        <w:spacing w:after="140"/>
      </w:pPr>
      <w:r>
        <w:t xml:space="preserve">Disclosure.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pBdr>
          <w:bottom w:val="single" w:sz="6" w:space="1" w:color="AAAAAA"/>
        </w:pBdr>
      </w:pPr>
    </w:p>
    <w:p>
      <w:pPr>
        <w:pStyle w:val="Heading2"/>
        <w:spacing w:after="140"/>
      </w:pPr>
      <w:r>
        <w:t xml:space="preserve">Abstract</w:t>
      </w:r>
    </w:p>
    <w:p>
      <w:pPr>
        <w:spacing w:after="140"/>
      </w:pPr>
      <w:r>
        <w:rPr>
          <w:b/>
        </w:rPr>
        <w:t xml:space="preserve">Purpose.</w:t>
      </w:r>
      <w:r>
        <w:t xml:space="preserve"> Records are judged, on appeal and in audit, on whether a reader who was not there can rebuild the basis for the decision from the record itself. Nothing measures that property directly. This paper tests whether a structured, record-level read can.</w:t>
      </w:r>
    </w:p>
    <w:p>
      <w:pPr>
        <w:spacing w:after="140"/>
      </w:pPr>
      <w:r>
        <w:rPr>
          <w:b/>
        </w:rPr>
        <w:t xml:space="preserve">Design/methodology/approach.</w:t>
      </w:r>
      <w:r>
        <w:t xml:space="preserve"> A three-level read, Ready, Needs work or Gap, was applied to 32 publicly available cases from 32 distinct sources across four document classes and two states, issued 2005 to 2026. The read and a short contemporaneous note giving its basis were recorded from the source alone, before the outcome was consulted. Ten cases were independently re-read.</w:t>
      </w:r>
    </w:p>
    <w:p>
      <w:pPr>
        <w:spacing w:after="140"/>
      </w:pPr>
      <w:r>
        <w:rPr>
          <w:b/>
        </w:rPr>
        <w:t xml:space="preserve">Findings.</w:t>
      </w:r>
      <w:r>
        <w:t xml:space="preserve"> The read agreed with independent government auditors in every case where both assessments existed, five of five. It tracked reconstructability rather than outcome: of seven noted Needs work cases, six state the basis could not be rebuilt, against none of 17 noted Ready cases (p = 0.0000520). It separated document classes by how much basis each exposes (p = 0.00466). A test against appellate outcome is null (p = 1.000), the expected boundary condition.</w:t>
      </w:r>
    </w:p>
    <w:p>
      <w:pPr>
        <w:spacing w:after="140"/>
      </w:pPr>
      <w:r>
        <w:rPr>
          <w:b/>
        </w:rPr>
        <w:t xml:space="preserve">Research limitations/implications.</w:t>
      </w:r>
      <w:r>
        <w:t xml:space="preserve"> Thirty-two cases from two states, from sources selected for contested legal questions. The blind second read agreed on 7 of 10 (AC1 0.582), below the pre-registered lower bound, so reliability evidence is interim.</w:t>
      </w:r>
    </w:p>
    <w:p>
      <w:pPr>
        <w:spacing w:after="140"/>
      </w:pPr>
      <w:r>
        <w:rPr>
          <w:b/>
        </w:rPr>
        <w:t xml:space="preserve">Practical implications.</w:t>
      </w:r>
      <w:r>
        <w:t xml:space="preserve"> Reconstructability can be assessed at the record level before a determination is finalised, and convergence with Comptroller findings indicates the read reaches auditors' judgments earlier.</w:t>
      </w:r>
    </w:p>
    <w:p>
      <w:pPr>
        <w:spacing w:after="140"/>
      </w:pPr>
      <w:r>
        <w:rPr>
          <w:b/>
        </w:rPr>
        <w:t xml:space="preserve">Originality/value.</w:t>
      </w:r>
      <w:r>
        <w:t xml:space="preserve"> A completed, citable, publicly sourced 32-case corpus with contemporaneous basis notes recorded blind to outcome. No comparable set exists in the records literature.</w:t>
      </w:r>
    </w:p>
    <w:p>
      <w:pPr>
        <w:spacing w:after="140"/>
      </w:pPr>
      <w:r>
        <w:rPr>
          <w:b/>
        </w:rPr>
        <w:t xml:space="preserve">Keywords.</w:t>
      </w:r>
      <w:r>
        <w:t xml:space="preserve"> Records management; information governance; documentation quality; public records; freedom of information; recordkeeping evidence</w:t>
      </w:r>
    </w:p>
    <w:p>
      <w:pPr>
        <w:pBdr>
          <w:bottom w:val="single" w:sz="6" w:space="1" w:color="AAAAAA"/>
        </w:pBdr>
      </w:pPr>
    </w:p>
    <w:p>
      <w:pPr>
        <w:pStyle w:val="Heading2"/>
        <w:spacing w:after="140"/>
      </w:pPr>
      <w:r>
        <w:t xml:space="preserve">1. The governance problem</w:t>
      </w:r>
    </w:p>
    <w:p>
      <w:pPr>
        <w:spacing w:after="140"/>
      </w:pPr>
      <w:r>
        <w:t xml:space="preserve">A record is the artefact an accountability process actually examines. When a determination is appealed, audited or litigated, the reviewer does not re-interview the officer who made it; the reviewer reads what was written. If the basis for the decision is not on the page, the organisation cannot evidence its own conduct, and the person the decision affects cannot engage the reasoning behind it.</w:t>
      </w:r>
    </w:p>
    <w:p>
      <w:pPr>
        <w:spacing w:after="140"/>
      </w:pPr>
      <w:r>
        <w:t xml:space="preserve">Records and information governance has instruments for retention, classification, access and disposal. It has fewer for the sufficiency of an individual record as evidence of the decision it documents. Completeness checklists record whether required fields were filled; they do not record whether what was written can be rebuilt into the reasoning. That gap is the subject of this paper.</w:t>
      </w:r>
    </w:p>
    <w:p>
      <w:pPr>
        <w:spacing w:after="140"/>
      </w:pPr>
      <w:r>
        <w:t xml:space="preserve">Public-records determinations are the corpus rather than the subject. They are used because they are published, because independent auditors have separately assessed some of the same programmes, and because their outcomes are documented, which makes convergent and discriminant tests possible. The governance question generalises beyond freedom of information: any consequential record that will be read cold by a later reviewer raises it.</w:t>
      </w:r>
    </w:p>
    <w:p>
      <w:pPr>
        <w:pStyle w:val="Heading2"/>
        <w:spacing w:after="140"/>
      </w:pPr>
      <w:r>
        <w:t xml:space="preserve">2. Introduction</w:t>
      </w:r>
    </w:p>
    <w:p>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programme. None of them re-interview the officer's memory. They read the record.</w:t>
      </w:r>
    </w:p>
    <w:p>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actually did when someone asks.</w:t>
      </w:r>
    </w:p>
    <w:p>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unreconstructable determinations does not, by itself, establish that the resulting records are defensible.</w:t>
      </w:r>
    </w:p>
    <w:p>
      <w:pPr>
        <w:spacing w:after="140"/>
      </w:pPr>
      <w:r>
        <w:t xml:space="preserve">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pPr>
        <w:pStyle w:val="Heading2"/>
        <w:spacing w:after="140"/>
      </w:pPr>
      <w:r>
        <w:t xml:space="preserve">3. Research questions</w:t>
      </w:r>
    </w:p>
    <w:p>
      <w:pPr>
        <w:numPr>
          <w:ilvl w:val="0"/>
          <w:numId w:val="3"/>
        </w:numPr>
        <w:spacing w:after="60"/>
      </w:pPr>
      <w:r>
        <w:t xml:space="preserve">Can the review conditions be applied to real public-records material across document classes and jurisdictions, and do they produce a full range of reads?</w:t>
      </w:r>
    </w:p>
    <w:p>
      <w:pPr>
        <w:numPr>
          <w:ilvl w:val="0"/>
          <w:numId w:val="3"/>
        </w:numPr>
        <w:spacing w:after="60"/>
      </w:pPr>
      <w:r>
        <w:t xml:space="preserve">Where an independent government auditor has assessed the sufficiency of the same records, does the read agree?</w:t>
      </w:r>
    </w:p>
    <w:p>
      <w:pPr>
        <w:numPr>
          <w:ilvl w:val="0"/>
          <w:numId w:val="3"/>
        </w:numPr>
        <w:spacing w:after="60"/>
      </w:pPr>
      <w:r>
        <w:t xml:space="preserve">What drives the read, and is it the property the instrument claims to measure?</w:t>
      </w:r>
    </w:p>
    <w:p>
      <w:pPr>
        <w:pStyle w:val="Heading2"/>
        <w:spacing w:after="140"/>
      </w:pPr>
      <w:r>
        <w:t xml:space="preserve">4. The instrument</w:t>
      </w:r>
    </w:p>
    <w:p>
      <w:pPr>
        <w:spacing w:after="140"/>
      </w:pPr>
      <w:r>
        <w:t xml:space="preserve">The Justification Review Standard (JRS)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40"/>
      </w:pPr>
      <w:r>
        <w:t xml:space="preserve">The conditions resolve to a three-level read. Ready, where a later reviewer could rebuild the conclusion from the record alone. Needs work, where the record is partly reconstructable and some basis is visible with gaps. Gap, where the basis is not visible in the record at all.</w:t>
      </w:r>
    </w:p>
    <w:p>
      <w:pPr>
        <w:spacing w:after="140"/>
      </w:pPr>
      <w:r>
        <w:t xml:space="preserve">The risk the standard names is Decision Reconstruction Risk: the condition in which a record cannot, on its own terms, let an independent reviewer rebuild the basis for a consequential decision.</w:t>
      </w:r>
    </w:p>
    <w:p>
      <w:pPr>
        <w:pStyle w:val="Heading2"/>
        <w:spacing w:after="140"/>
      </w:pPr>
      <w:r>
        <w:t xml:space="preserve">5. Methods</w:t>
      </w:r>
    </w:p>
    <w:p>
      <w:pPr>
        <w:spacing w:after="140"/>
      </w:pPr>
      <w:r>
        <w:t xml:space="preserve">4.1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pPr>
        <w:spacing w:after="140"/>
      </w:pPr>
      <w:r>
        <w:t xml:space="preserve">4.2 Materials</w:t>
      </w:r>
    </w:p>
    <w:p>
      <w:pPr>
        <w:spacing w:after="140"/>
      </w:pPr>
      <w:r>
        <w:t xml:space="preserve">Public material only. Each case was de-identified as to any private individual, and each case carries a public citation or source URL. No internal, confidential, privileged, or otherwise nonpublic government material was used.</w:t>
      </w:r>
    </w:p>
    <w:p>
      <w:pPr>
        <w:spacing w:after="140"/>
      </w:pPr>
      <w:r>
        <w:t xml:space="preserve">4.3 Sample</w:t>
      </w:r>
    </w:p>
    <w:p>
      <w:pPr>
        <w:spacing w:after="140"/>
      </w:pPr>
      <w:r>
        <w:t xml:space="preserve">The stated target was 20 to 30 cases with a deliberate spread of outcomes. The achieved sample is 32 cases from 32 distinct public sources, collected 26 June to 8 August 2026, spanning decisions issued between 2005 and 2026 across eleven distinct years.</w:t>
      </w:r>
    </w:p>
    <w:p>
      <w:pPr>
        <w:spacing w:after="140"/>
      </w:pPr>
      <w: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w:t>
      </w:r>
    </w:p>
    <w:p>
      <w:pPr>
        <w:spacing w:after="140"/>
      </w:pPr>
      <w:r>
        <w:t xml:space="preserve">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pPr>
        <w:spacing w:after="140"/>
      </w:pPr>
      <w:r>
        <w:t xml:space="preserve">4.4 Outcome coding</w:t>
      </w:r>
    </w:p>
    <w:p>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p>
      <w:pPr>
        <w:spacing w:after="140"/>
      </w:pPr>
      <w:r>
        <w:t xml:space="preserve">4.5 Analyses</w:t>
      </w:r>
    </w:p>
    <w:p>
      <w:pPr>
        <w:spacing w:after="140"/>
      </w:pPr>
      <w:r>
        <w:t xml:space="preserve">Five analyses, in the order reported.</w:t>
      </w:r>
    </w:p>
    <w:p>
      <w:pPr>
        <w:spacing w:after="140"/>
      </w:pPr>
      <w:r>
        <w:t xml:space="preserve">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pPr>
        <w:spacing w:after="140"/>
      </w:pPr>
      <w:r>
        <w:t xml:space="preserve">Discriminant validity tests the read against document class, using a structural variable rather than the reviewer's own words: whether the source reproduces the determination text or instead assessed the underlying records in camera or in aggregate.</w:t>
      </w:r>
    </w:p>
    <w:p>
      <w:pPr>
        <w:spacing w:after="140"/>
      </w:pPr>
      <w:r>
        <w:t xml:space="preserve">The specification check tests the read against appellate disposition. Cases where the source records no resolved disposition are excluded rather than assigned one.</w:t>
      </w:r>
    </w:p>
    <w:p>
      <w:pPr>
        <w:spacing w:after="140"/>
      </w:pPr>
      <w:r>
        <w:t xml:space="preserve">All 32 reads were recorded by a single domain reviewer, who also recorded the outcomes, so the reads are not independent of the person assigning the outcome. Section 7 treats that as a limitation.</w:t>
      </w:r>
    </w:p>
    <w:p>
      <w:pPr>
        <w:spacing w:after="140"/>
      </w:pPr>
      <w:r>
        <w:t xml:space="preserve">4.6 Blind second read</w:t>
      </w:r>
    </w:p>
    <w:p>
      <w:pPr>
        <w:spacing w:after="140"/>
      </w:pPr>
      <w:r>
        <w:t xml:space="preserve">To estimate reader dependence, 10 of the 32 cases were re-read by an independent reviewer with no connection to the study and no prior familiarity with the instrument, who recorded his own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pPr>
        <w:pStyle w:val="Heading2"/>
        <w:spacing w:after="140"/>
      </w:pPr>
      <w:r>
        <w:t xml:space="preserve">6. Results</w:t>
      </w:r>
    </w:p>
    <w:p>
      <w:pPr>
        <w:spacing w:after="140"/>
      </w:pPr>
      <w:r>
        <w:t xml:space="preserve">5.1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2 shows the distribution of documentation reads across the documented outcomes.</w:t>
      </w:r>
    </w:p>
    <w:p>
      <w:pPr>
        <w:spacing w:after="140"/>
      </w:pPr>
      <w:r>
        <w:t xml:space="preserve">Figure 2. Documentation read by documented outcome. 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supplies the applied case set the field did not previously have.</w:t>
      </w:r>
    </w:p>
    <w:p>
      <w:pPr>
        <w:spacing w:after="140"/>
      </w:pPr>
      <w:r>
        <w:t xml:space="preserve">5.2 The read agrees with independent auditors, five of five</w:t>
      </w:r>
    </w:p>
    <w:p>
      <w:pPr>
        <w:spacing w:after="140"/>
      </w:pPr>
      <w:r>
        <w:t xml:space="preserve">Five cases are compliance audits in which a state or city Comptroller had independently examined an agency's FOIL programme, using their own methodology and with no knowledge of this study.</w:t>
      </w:r>
    </w:p>
    <w:p>
      <w:pPr>
        <w:spacing w:after="140"/>
      </w:pPr>
      <w:r>
        <w:t xml:space="preserve">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w:t>
      </w:r>
    </w:p>
    <w:p>
      <w:pPr>
        <w:spacing w:after="140"/>
      </w:pPr>
      <w:r>
        <w:t xml:space="preserve">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pPr>
        <w:spacing w:after="140"/>
      </w:pPr>
      <w:r>
        <w:t xml:space="preserve">5.3 The read tracks reconstructability, not outcome</w:t>
      </w:r>
    </w:p>
    <w:p>
      <w:pPr>
        <w:spacing w:after="140"/>
      </w:pPr>
      <w:r>
        <w:t xml:space="preserve">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5.2.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Reconstructability failure stated</w:t>
            </w:r>
          </w:p>
        </w:tc>
        <w:tc>
          <w:tcPr>
            <w:tcW w:w="2340" w:type="dxa"/>
          </w:tcPr>
          <w:p>
            <w:pPr>
              <w:spacing w:after="0"/>
            </w:pPr>
            <w:r>
              <w:t xml:space="preserve">Not stated</w:t>
            </w:r>
          </w:p>
        </w:tc>
        <w:tc>
          <w:tcPr>
            <w:tcW w:w="2340" w:type="dxa"/>
          </w:tcPr>
          <w:p>
            <w:pPr>
              <w:spacing w:after="0"/>
            </w:pPr>
            <w:r>
              <w:t xml:space="preserve">Rate</w:t>
            </w:r>
          </w:p>
        </w:tc>
      </w:tr>
      <w:tr>
        <w:tc>
          <w:tcPr>
            <w:tcW w:w="2340" w:type="dxa"/>
          </w:tcPr>
          <w:p>
            <w:pPr>
              <w:spacing w:after="0"/>
            </w:pPr>
            <w:r>
              <w:t xml:space="preserve">Needs work (n = 7)</w:t>
            </w:r>
          </w:p>
        </w:tc>
        <w:tc>
          <w:tcPr>
            <w:tcW w:w="2340" w:type="dxa"/>
          </w:tcPr>
          <w:p>
            <w:pPr>
              <w:spacing w:after="0"/>
            </w:pPr>
            <w:r>
              <w:t xml:space="preserve">6</w:t>
            </w:r>
          </w:p>
        </w:tc>
        <w:tc>
          <w:tcPr>
            <w:tcW w:w="2340" w:type="dxa"/>
          </w:tcPr>
          <w:p>
            <w:pPr>
              <w:spacing w:after="0"/>
            </w:pPr>
            <w:r>
              <w:t xml:space="preserve">1</w:t>
            </w:r>
          </w:p>
        </w:tc>
        <w:tc>
          <w:tcPr>
            <w:tcW w:w="2340" w:type="dxa"/>
          </w:tcPr>
          <w:p>
            <w:pPr>
              <w:spacing w:after="0"/>
            </w:pPr>
            <w:r>
              <w:t xml:space="preserve">85.7%</w:t>
            </w:r>
          </w:p>
        </w:tc>
      </w:tr>
      <w:tr>
        <w:tc>
          <w:tcPr>
            <w:tcW w:w="2340" w:type="dxa"/>
          </w:tcPr>
          <w:p>
            <w:pPr>
              <w:spacing w:after="0"/>
            </w:pPr>
            <w:r>
              <w:t xml:space="preserve">Ready (n = 17)</w:t>
            </w:r>
          </w:p>
        </w:tc>
        <w:tc>
          <w:tcPr>
            <w:tcW w:w="2340" w:type="dxa"/>
          </w:tcPr>
          <w:p>
            <w:pPr>
              <w:spacing w:after="0"/>
            </w:pPr>
            <w:r>
              <w:t xml:space="preserve">0</w:t>
            </w:r>
          </w:p>
        </w:tc>
        <w:tc>
          <w:tcPr>
            <w:tcW w:w="2340" w:type="dxa"/>
          </w:tcPr>
          <w:p>
            <w:pPr>
              <w:spacing w:after="0"/>
            </w:pPr>
            <w:r>
              <w:t xml:space="preserve">17</w:t>
            </w:r>
          </w:p>
        </w:tc>
        <w:tc>
          <w:tcPr>
            <w:tcW w:w="2340" w:type="dxa"/>
          </w:tcPr>
          <w:p>
            <w:pPr>
              <w:spacing w:after="0"/>
            </w:pPr>
            <w:r>
              <w:t xml:space="preserve">0.0%</w:t>
            </w:r>
          </w:p>
        </w:tc>
      </w:tr>
    </w:tbl>
    <w:p>
      <w:pPr/>
      <w:r>
        <w:t/>
      </w:r>
    </w:p>
    <w:p>
      <w:pPr>
        <w:spacing w:after="140"/>
      </w:pPr>
      <w:r>
        <w:t xml:space="preserve">Fisher's exact test, two-sided: p = 0.0000520.</w:t>
      </w:r>
    </w:p>
    <w:p>
      <w:pPr>
        <w:spacing w:after="140"/>
      </w:pPr>
      <w:r>
        <w:t xml:space="preserve">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pPr>
        <w:spacing w:after="140"/>
      </w:pPr>
      <w:r>
        <w:t xml:space="preserve">No Needs work note contains an affirmative reconstructability statement, and no Ready note contains a reconstructability failure.</w:t>
      </w:r>
    </w:p>
    <w:p>
      <w:pPr>
        <w:spacing w:after="140"/>
      </w:pPr>
      <w:r>
        <w:t xml:space="preserve">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pPr>
        <w:spacing w:after="140"/>
      </w:pPr>
      <w:r>
        <w:t xml:space="preserve">5.4 The read separates document classes by how much basis they expose</w:t>
      </w:r>
    </w:p>
    <w:p>
      <w:pPr>
        <w:spacing w:after="140"/>
      </w:pPr>
      <w:r>
        <w:t xml:space="preserve">The same conclusion can be reached without relying on the reviewer's own words, using a structural feature of each source. Figure 3 shows the distribution of documentation reads across the four source classes.</w:t>
      </w:r>
    </w:p>
    <w:p>
      <w:pPr>
        <w:spacing w:after="140"/>
      </w:pPr>
      <w:r>
        <w:t xml:space="preserve">Figure 3. Documentation read distribution by source type. 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summarize it. Both Connecticut decisions turned on records the Commission examined in camera.</w:t>
      </w:r>
    </w:p>
    <w:p>
      <w:pPr>
        <w:spacing w:after="140"/>
      </w:pPr>
      <w:r>
        <w:t xml:space="preserve">Grouping by that structural difference, sources that reproduce the determination text against sources that assessed the underlying records in camera or in aggregate: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Ready</w:t>
            </w:r>
          </w:p>
        </w:tc>
        <w:tc>
          <w:tcPr>
            <w:tcW w:w="3120" w:type="dxa"/>
          </w:tcPr>
          <w:p>
            <w:pPr>
              <w:spacing w:after="0"/>
            </w:pPr>
            <w:r>
              <w:t xml:space="preserve">Not Ready</w:t>
            </w:r>
          </w:p>
        </w:tc>
      </w:tr>
      <w:tr>
        <w:tc>
          <w:tcPr>
            <w:tcW w:w="3120" w:type="dxa"/>
          </w:tcPr>
          <w:p>
            <w:pPr>
              <w:spacing w:after="0"/>
            </w:pPr>
            <w:r>
              <w:t xml:space="preserve">Reproduces the determination text (n = 7)</w:t>
            </w:r>
          </w:p>
        </w:tc>
        <w:tc>
          <w:tcPr>
            <w:tcW w:w="3120" w:type="dxa"/>
          </w:tcPr>
          <w:p>
            <w:pPr>
              <w:spacing w:after="0"/>
            </w:pPr>
            <w:r>
              <w:t xml:space="preserve">6</w:t>
            </w:r>
          </w:p>
        </w:tc>
        <w:tc>
          <w:tcPr>
            <w:tcW w:w="3120" w:type="dxa"/>
          </w:tcPr>
          <w:p>
            <w:pPr>
              <w:spacing w:after="0"/>
            </w:pPr>
            <w:r>
              <w:t xml:space="preserve">1</w:t>
            </w:r>
          </w:p>
        </w:tc>
      </w:tr>
      <w:tr>
        <w:tc>
          <w:tcPr>
            <w:tcW w:w="3120" w:type="dxa"/>
          </w:tcPr>
          <w:p>
            <w:pPr>
              <w:spacing w:after="0"/>
            </w:pPr>
            <w:r>
              <w:t xml:space="preserve">Assessed the records in camera or in aggregate (n = 7)</w:t>
            </w:r>
          </w:p>
        </w:tc>
        <w:tc>
          <w:tcPr>
            <w:tcW w:w="3120" w:type="dxa"/>
          </w:tcPr>
          <w:p>
            <w:pPr>
              <w:spacing w:after="0"/>
            </w:pPr>
            <w:r>
              <w:t xml:space="preserve">0</w:t>
            </w:r>
          </w:p>
        </w:tc>
        <w:tc>
          <w:tcPr>
            <w:tcW w:w="3120" w:type="dxa"/>
          </w:tcPr>
          <w:p>
            <w:pPr>
              <w:spacing w:after="0"/>
            </w:pPr>
            <w:r>
              <w:t xml:space="preserve">7</w:t>
            </w:r>
          </w:p>
        </w:tc>
      </w:tr>
    </w:tbl>
    <w:p>
      <w:pPr/>
      <w:r>
        <w:t/>
      </w:r>
    </w:p>
    <w:p>
      <w:pPr>
        <w:spacing w:after="140"/>
      </w:pPr>
      <w:r>
        <w:t xml:space="preserve">Fisher's exact test, two-sided: p = 0.00466.</w:t>
      </w:r>
    </w:p>
    <w:p>
      <w:pPr>
        <w:spacing w:after="140"/>
      </w:pPr>
      <w:r>
        <w:t xml:space="preserve">Gap reads concentrate completely. All five programme-level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pPr>
        <w:spacing w:after="140"/>
      </w:pPr>
      <w:r>
        <w:t xml:space="preserve">5.5 Appellate outcome is a different variable</w:t>
      </w:r>
    </w:p>
    <w:p>
      <w:pPr>
        <w:spacing w:after="140"/>
      </w:pPr>
      <w:r>
        <w:t xml:space="preserve">The specification check tested the read against appellate disposition, on the 20 determinations where the source records a resolved one.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Sustained</w:t>
            </w:r>
          </w:p>
        </w:tc>
        <w:tc>
          <w:tcPr>
            <w:tcW w:w="2340" w:type="dxa"/>
          </w:tcPr>
          <w:p>
            <w:pPr>
              <w:spacing w:after="0"/>
            </w:pPr>
            <w:r>
              <w:t xml:space="preserve">Did not survive</w:t>
            </w:r>
          </w:p>
        </w:tc>
        <w:tc>
          <w:tcPr>
            <w:tcW w:w="2340" w:type="dxa"/>
          </w:tcPr>
          <w:p>
            <w:pPr>
              <w:spacing w:after="0"/>
            </w:pPr>
            <w:r>
              <w:t xml:space="preserve">Sustained rate</w:t>
            </w:r>
          </w:p>
        </w:tc>
      </w:tr>
      <w:tr>
        <w:tc>
          <w:tcPr>
            <w:tcW w:w="2340" w:type="dxa"/>
          </w:tcPr>
          <w:p>
            <w:pPr>
              <w:spacing w:after="0"/>
            </w:pPr>
            <w:r>
              <w:t xml:space="preserve">Ready</w:t>
            </w:r>
          </w:p>
        </w:tc>
        <w:tc>
          <w:tcPr>
            <w:tcW w:w="2340" w:type="dxa"/>
          </w:tcPr>
          <w:p>
            <w:pPr>
              <w:spacing w:after="0"/>
            </w:pPr>
            <w:r>
              <w:t xml:space="preserve">3</w:t>
            </w:r>
          </w:p>
        </w:tc>
        <w:tc>
          <w:tcPr>
            <w:tcW w:w="2340" w:type="dxa"/>
          </w:tcPr>
          <w:p>
            <w:pPr>
              <w:spacing w:after="0"/>
            </w:pPr>
            <w:r>
              <w:t xml:space="preserve">10</w:t>
            </w:r>
          </w:p>
        </w:tc>
        <w:tc>
          <w:tcPr>
            <w:tcW w:w="2340" w:type="dxa"/>
          </w:tcPr>
          <w:p>
            <w:pPr>
              <w:spacing w:after="0"/>
            </w:pPr>
            <w:r>
              <w:t xml:space="preserve">23.1%</w:t>
            </w:r>
          </w:p>
        </w:tc>
      </w:tr>
      <w:tr>
        <w:tc>
          <w:tcPr>
            <w:tcW w:w="2340" w:type="dxa"/>
          </w:tcPr>
          <w:p>
            <w:pPr>
              <w:spacing w:after="0"/>
            </w:pPr>
            <w:r>
              <w:t xml:space="preserve">Needs work</w:t>
            </w:r>
          </w:p>
        </w:tc>
        <w:tc>
          <w:tcPr>
            <w:tcW w:w="2340" w:type="dxa"/>
          </w:tcPr>
          <w:p>
            <w:pPr>
              <w:spacing w:after="0"/>
            </w:pPr>
            <w:r>
              <w:t xml:space="preserve">2</w:t>
            </w:r>
          </w:p>
        </w:tc>
        <w:tc>
          <w:tcPr>
            <w:tcW w:w="2340" w:type="dxa"/>
          </w:tcPr>
          <w:p>
            <w:pPr>
              <w:spacing w:after="0"/>
            </w:pPr>
            <w:r>
              <w:t xml:space="preserve">5</w:t>
            </w:r>
          </w:p>
        </w:tc>
        <w:tc>
          <w:tcPr>
            <w:tcW w:w="2340" w:type="dxa"/>
          </w:tcPr>
          <w:p>
            <w:pPr>
              <w:spacing w:after="0"/>
            </w:pPr>
            <w:r>
              <w:t xml:space="preserve">28.6%</w:t>
            </w:r>
          </w:p>
        </w:tc>
      </w:tr>
    </w:tbl>
    <w:p>
      <w:pPr/>
      <w:r>
        <w:t/>
      </w:r>
    </w:p>
    <w:p>
      <w:pPr>
        <w:spacing w:after="140"/>
      </w:pPr>
      <w:r>
        <w:t xml:space="preserve">Odds ratio 0.75. Fisher's exact test, two-sided: p = 1.000. Null.</w:t>
      </w:r>
    </w:p>
    <w:p>
      <w:pPr>
        <w:spacing w:after="140"/>
      </w:pPr>
      <w:r>
        <w:t xml:space="preserve">Read alongside Sections 5.3 and 5.4,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Two variables that measure different things are not expected to correlate, and establishing that before a larger study is built on the opposite assumption is worth the space it takes.</w:t>
      </w:r>
    </w:p>
    <w:p>
      <w:pPr>
        <w:spacing w:after="140"/>
      </w:pPr>
      <w:r>
        <w:t xml:space="preserve">5.6 The same instrument, a different corpus, and the association appears</w:t>
      </w:r>
    </w:p>
    <w:p>
      <w:pPr>
        <w:spacing w:after="140"/>
      </w:pPr>
      <w:r>
        <w:t xml:space="preserve">That explanation can be tested rather than asserted. The same instrument has been applied in a second domain, employment and labour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pPr>
        <w:spacing w:after="140"/>
      </w:pPr>
      <w:r>
        <w:t xml:space="preserve">In that corpus the read is associated with the documented outcome. On the outcome coding that asks whether a matter drew an adverse finding, one of three codings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pPr>
        <w:spacing w:after="140"/>
      </w:pPr>
      <w:r>
        <w:t xml:space="preserve">That result belongs to the second study and is reported in full there, with its own limits, which include a small resolved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pPr>
        <w:spacing w:after="140"/>
      </w:pPr>
      <w:r>
        <w:t xml:space="preserve">5.7 Blind second read</w:t>
      </w:r>
    </w:p>
    <w:p>
      <w:pPr>
        <w:spacing w:after="140"/>
      </w:pPr>
      <w:r>
        <w:t xml:space="preserve">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which credits an adjacent disagreement more than a distant one, is 0.559. Gwet's AC1, which does not collapse when one category holds most of the margin, as Ready does here at 6 of 10,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pPr>
        <w:pStyle w:val="Heading2"/>
        <w:spacing w:after="140"/>
      </w:pPr>
      <w:r>
        <w:t xml:space="preserve">7. Discussion</w:t>
      </w:r>
    </w:p>
    <w:p>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reconstructability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pPr>
        <w:spacing w:after="140"/>
      </w:pPr>
      <w:r>
        <w:t xml:space="preserve">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reconstructability, catching the case where better tooling produces fluent but unreconstructable records.</w:t>
      </w:r>
    </w:p>
    <w:p>
      <w:pPr>
        <w:spacing w:after="140"/>
      </w:pPr>
      <w:r>
        <w:t xml:space="preserve">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8. Practical implications for records and information governance</w:t>
      </w:r>
    </w:p>
    <w:p>
      <w:pPr>
        <w:spacing w:after="140"/>
      </w:pPr>
      <w:r>
        <w:t xml:space="preserve">Three implications follow for practice, stated at the level the evidence supports.</w:t>
      </w:r>
    </w:p>
    <w:p>
      <w:pPr>
        <w:spacing w:after="140"/>
      </w:pPr>
      <w:r>
        <w:rPr>
          <w:b/>
        </w:rPr>
        <w:t xml:space="preserve">Reconstructability can be assessed before finalisation, not only after challenge.</w:t>
      </w:r>
      <w:r>
        <w:t xml:space="preserve"> The read operates on the record alone and takes minutes. Every judgment in this study was made from the source without access to the decision-maker, which is the position a later reviewer occupies. A records function can occupy that position deliberately, while the file is still open.</w:t>
      </w:r>
    </w:p>
    <w:p>
      <w:pPr>
        <w:spacing w:after="140"/>
      </w:pPr>
      <w:r>
        <w:rPr>
          <w:b/>
        </w:rPr>
        <w:t xml:space="preserve">A written basis note is the mechanism, not the score.</w:t>
      </w:r>
      <w:r>
        <w:t xml:space="preserve"> The three-level read is a summary; what carried the analysis was the short contemporaneous note stating why. Of the seven Needs work cases with a note, six state that the basis could not be rebuilt. A programme that records the reason alongside the rating produces an auditable trail; one that records only a rating does not.</w:t>
      </w:r>
    </w:p>
    <w:p>
      <w:pPr>
        <w:spacing w:after="140"/>
      </w:pPr>
      <w:r>
        <w:rPr>
          <w:b/>
        </w:rPr>
        <w:t xml:space="preserve">Programme-level and case-level records fail differently.</w:t>
      </w:r>
      <w:r>
        <w:t xml:space="preserve"> Every Gap read in this corpus fell on a programme-level audit, and none on a case-level determination. Case-level sources that reproduce the determination text read Ready in six of seven; sources that assessed records in camera or in aggregate read Ready in none of seven. A governance programme applying this should expect the two classes to behave differently and should not pool them.</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pPr>
        <w:pStyle w:val="Heading2"/>
        <w:spacing w:after="140"/>
      </w:pPr>
      <w:r>
        <w:t xml:space="preserve">9. Limitations</w:t>
      </w:r>
    </w:p>
    <w:p>
      <w:pPr>
        <w:spacing w:after="140"/>
      </w:pPr>
      <w:r>
        <w:t xml:space="preserve">All 32 reads were recorded by a single domain reviewer. 10 of them, not all 32, were re-read blind by an independent reviewer, so reader dependence is estimated on a subset and not 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pPr>
        <w:spacing w:after="140"/>
      </w:pPr>
      <w:r>
        <w:t xml:space="preserve">The note coding in Section 5.3 is post-hoc rather than pre-registered, and is reported as construct evidence rather than as a confirmatory test.</w:t>
      </w:r>
    </w:p>
    <w:p>
      <w:pPr>
        <w:spacing w:after="140"/>
      </w:pPr>
      <w:r>
        <w:t xml:space="preserve">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5.2 and 5.4 to the readings given there.</w:t>
      </w:r>
    </w:p>
    <w:p>
      <w:pPr>
        <w:spacing w:after="140"/>
      </w:pPr>
      <w:r>
        <w:t xml:space="preserve">The corpus is two states, New York and Connecticut. Generalization beyond them is not claimed.</w:t>
      </w:r>
    </w:p>
    <w:p>
      <w:pPr>
        <w:spacing w:after="140"/>
      </w:pPr>
      <w:r>
        <w:t xml:space="preserve">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pPr>
        <w:spacing w:after="140"/>
      </w:pPr>
      <w:r>
        <w:t xml:space="preserve">Seven cases record a contest without a resolved disposition, which reduces the specification check from 27 determinations to 20.</w:t>
      </w:r>
    </w:p>
    <w:p>
      <w:pPr>
        <w:spacing w:after="140"/>
      </w:pPr>
      <w:r>
        <w:t xml:space="preserve">The reviewer read the determination as reported in a published decision or audit, which is not identical to the file the original decision-maker produced.</w:t>
      </w:r>
    </w:p>
    <w:p>
      <w:pPr>
        <w:spacing w:after="140"/>
      </w:pPr>
      <w:r>
        <w:t xml:space="preserve">The standard remains in a validation phase and makes no proven-effectiveness claim.</w:t>
      </w:r>
    </w:p>
    <w:p>
      <w:pPr>
        <w:pStyle w:val="Heading2"/>
        <w:spacing w:after="140"/>
      </w:pPr>
      <w:r>
        <w:t xml:space="preserve">10. Conclusion</w:t>
      </w:r>
    </w:p>
    <w:p>
      <w:pPr>
        <w:spacing w:after="140"/>
      </w:pPr>
      <w:r>
        <w:t xml:space="preserve">The drafting tool and the technology stack will keep changing. The evidentiary test does not. A public-records determination that cannot be rebuilt from its own contents cannot be independently defended, whoever or whatever produced it.</w:t>
      </w:r>
    </w:p>
    <w:p>
      <w:pPr>
        <w:spacing w:after="140"/>
      </w:pPr>
      <w:r>
        <w:t xml:space="preserve">This pilot delivers a working protocol, a completed and citable 32-case set spanning four document classes, two states and twenty-one years of decisions, agreement with independent government auditors in every case where both instruments were available, and two independent lines of evidence that the read tracks reconstructability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programme can act on.</w:t>
      </w:r>
    </w:p>
    <w:p>
      <w:pPr>
        <w:pStyle w:val="Heading2"/>
        <w:spacing w:after="140"/>
      </w:pPr>
      <w:r>
        <w:t xml:space="preserve">References</w:t>
      </w:r>
    </w:p>
    <w:p>
      <w:pPr>
        <w:spacing w:after="140"/>
      </w:pPr>
      <w:r>
        <w:t xml:space="preserve">Chief FOIA Officers Council. (2026, May 28). Memorandum: data collection and volunteers [Government-wide FOIA technology inventory initiative]. United States Department of Justice.</w:t>
      </w:r>
    </w:p>
    <w:p>
      <w:pPr>
        <w:spacing w:after="140"/>
      </w:pPr>
      <w:r>
        <w:t xml:space="preserve">Gwet, K. L. (2008). Computing inter-rater reliability and its variance in the presence of high agreement. British Journal of Mathematical and Statistical Psychology, 61(1), 29-48.</w:t>
      </w:r>
    </w:p>
    <w:p>
      <w:pPr>
        <w:spacing w:after="140"/>
      </w:pPr>
      <w:r>
        <w:t xml:space="preserve">Cited determinations, opinions, and audits</w:t>
      </w:r>
    </w:p>
    <w:p>
      <w:pPr>
        <w:spacing w:after="140"/>
      </w:pPr>
      <w:r>
        <w:t xml:space="preserve">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spacing w:after="140"/>
      </w:pPr>
      <w: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spacing w:after="140"/>
      </w:pPr>
      <w:r>
        <w:t xml:space="preserve">Connecticut Freedom of Information Commission final decisions: FIC2012-276; FIC2015-122.</w:t>
      </w:r>
    </w:p>
    <w:p>
      <w:pPr>
        <w:spacing w:after="140"/>
      </w:pPr>
      <w:r>
        <w:t xml:space="preserve">Compliance audits: New York State Comptroller, compliance with Freedom of Information Law requirements (2020, 2021, 2023); New York City Comptroller, Review of the New York City Police Department's Body-Worn Camera Program (2025).</w:t>
      </w:r>
    </w:p>
    <w:p>
      <w:pPr>
        <w:pStyle w:val="Heading2"/>
        <w:spacing w:after="140"/>
      </w:pPr>
      <w:r>
        <w:t xml:space="preserve">Data availability</w:t>
      </w:r>
    </w:p>
    <w:p>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figure in Section 5 is reproduced by analysis.py,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Gwet's AC1 are written out in that file rather than imported. The blind second read of Section 5.7, its per-case answers and every coefficient are held in Blind_Recheck_RESULT_2026-08-28.json. The complete case set with citations and notes is available from the authors and will be released with publication.</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