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reference classification,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the first one a measurement programme has to answer: given an operational definition of DRR, can independent domain experts distinguish records that satisfy it from records that do not? If they cannot, no governance control resting on human review of documentation can work.</w:t>
      </w:r>
    </w:p>
    <w:p>
      <w:pPr>
        <w:spacing w:after="140"/>
      </w:pPr>
      <w:r>
        <w:rPr>
          <w:b/>
        </w:rPr>
        <w:t xml:space="preserve">Methods.</w:t>
      </w:r>
      <w:r>
        <w:t xml:space="preserve"> A balanced corpus of 24 constructed, de-identified, AI-generated records (12 grounded, 12 unsupported) was judged by an international panel of independent experts against a pre-specified reference classification fixed before recruitment and independently reproduced by raters blind to the study hypotheses. Reviewers worked independently, blind to that classification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reference classification was 83.9 percent (95 percent CI 72.7 to 95.1 at participant level), with sensitivity 87.0 percent for unsupported records and specificity 80.7 percent for grounded ones. This clears the pre-registered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reading a record cold, cannot tell one whose reasoning is present from one whose reasoning is absent, then documentation risk is not a governable property and no control built on human review can work.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 reference classification reproduced by raters blind to the hypotheses, blinded expert detection, and a pre-registered statistical criterion. The chain provides evidence that the operationalisation is recognisable to independent experts under the stated reviewer standpoint and briefing.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documentation-layer opacity: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demonstrated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designed to be vendor-, model-, and workflow-agnostic: it evaluates the documentary output rather than the technology or drafting process that produced it.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Independent reproduction of an author-generated reference classification by raters not involved in corpus construction</w:t>
            </w:r>
          </w:p>
        </w:tc>
        <w:tc>
          <w:tcPr>
            <w:tcW w:w="3120" w:type="dxa"/>
          </w:tcPr>
          <w:p>
            <w:pPr>
              <w:spacing w:after="0"/>
            </w:pPr>
            <w:r>
              <w:t xml:space="preserve">Section 4.4, independently reproduced but construct-dependent</w:t>
            </w:r>
          </w:p>
        </w:tc>
      </w:tr>
      <w:tr>
        <w:tc>
          <w:tcPr>
            <w:tcW w:w="3120" w:type="dxa"/>
          </w:tcPr>
          <w:p>
            <w:pPr>
              <w:spacing w:after="0"/>
            </w:pPr>
            <w:r>
              <w:t xml:space="preserve">Blinded detection</w:t>
            </w:r>
          </w:p>
        </w:tc>
        <w:tc>
          <w:tcPr>
            <w:tcW w:w="3120" w:type="dxa"/>
          </w:tcPr>
          <w:p>
            <w:pPr>
              <w:spacing w:after="0"/>
            </w:pPr>
            <w:r>
              <w:t xml:space="preserve">Independent judges, blind to the reference classification</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pre-specified reference classification independently reproduced by blinded raters, blind to that classification and to one another's judgments. There is no control arm by design: the panel is measured against a reference classification, not against another group. A separate randomised comparison study, which does have arms, tests a different question, closed on 15 August 2026, and is reported separately. Its participants are credentialed professionals drawn from the same pool and randomised within it, so the two arms differ in the method applied and not in the expertise of the people applying it.</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may overstate performance on a corpus containing ambiguous records and should not be interpreted as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reference classification, and how it was established</w:t>
      </w:r>
    </w:p>
    <w:p>
      <w:pPr>
        <w:spacing w:after="140"/>
      </w:pPr>
      <w:r>
        <w:t xml:space="preserve">The key is the foundation of every number in this paper, and it is treated here as a methodological object rather than as a formality.</w:t>
      </w:r>
    </w:p>
    <w:p>
      <w:pPr>
        <w:spacing w:after="140"/>
      </w:pPr>
      <w:r>
        <w:rPr>
          <w:b/>
        </w:rPr>
        <w:t xml:space="preserve">Author-side classification.</w:t>
      </w:r>
      <w:r>
        <w:t xml:space="preserve"> Before any reviewer was recruited,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w:t>
      </w:r>
      <w:r>
        <w:t xml:space="preserve"> The intended classification was then withheld and the corpus was given to blind raters who did not see the study's hypotheses, did not see the author-side classification, and were not told that a reference classification existed to be recovered. They were asked to classify each record as grounded or unsupported. They reproduced the author-side classification on 24 of 24 records. There were no disagreements, so no adjudication procedure was invoked and no classification changed.</w:t>
      </w:r>
    </w:p>
    <w:p>
      <w:pPr>
        <w:spacing w:after="140"/>
      </w:pPr>
      <w:r>
        <w:rPr>
          <w:b/>
        </w:rPr>
        <w:t xml:space="preserve">What this establishes, and what it does not.</w:t>
      </w:r>
      <w:r>
        <w:t xml:space="preserve"> Unanimous reproduction by raters blind to the hypotheses rules out the objection that the reference classification was fitted to the reviewers' responses after the fact. It does not, however, remove the construct-dependence described below, and it does not rule out a weaker but real objection: the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blind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blind raters, and the record-by-record reproduction result. Nothing about the reference classification is withheld from a reader who wants to test it.</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reference classification,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reviewers as a random factor and correctly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 It finds the reviewer component to be the dominant source of variance and the record component to be small and not distinguishable from zero at this sample size.</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held-out reference classification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was specified before data collection as a pragmatic performance floor rather than derived from a decision-theoretic model. No validated cost model currently exists for documentation-risk detection, and the threshold should therefore not be interpreted as an established standard of acceptable performance. Building such a model is part of Study 5 in Section 10. The observed estimate and its confidence interval, 72.7 to 95.1, are reported independently of that threshold so that readers can apply their own criterion.</w:t>
      </w:r>
    </w:p>
    <w:p>
      <w:pPr>
        <w:spacing w:after="140"/>
      </w:pPr>
      <w:r>
        <w:rPr>
          <w:b/>
        </w:rPr>
        <w:t xml:space="preserve">Reliability floor (supporting).</w:t>
      </w:r>
      <w:r>
        <w:t xml:space="preserve"> Gwet's AC1 among the expert panel of at least 0.61, </w:t>
      </w:r>
      <w:r>
        <w:rPr>
          <w:b/>
        </w:rPr>
        <w:t xml:space="preserve">with the lower bound of its confidence interval at least 0.41.</w:t>
      </w:r>
      <w:r>
        <w:t xml:space="preserve"> Both parts are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Participants were informed in advance that the reference classification and the corpus composition would not be disclosed during review, because disclosure would compromise the blinded detection task.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experts; the remainder are trained reviewers.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trained-reviewer coefficient is 0.623, and pooling the baseline labels in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expert judgment is a different question, tested in a separate study with its own participants, recruitment, participant codes, and registration. Those participants are credentialed professionals of the same standing as the panel reported here, randomised between applying the five conditions and applying a general prompt. They are described as JRS-naive because they had no prior exposure to the method, which is a statement about exposure and not about expertise.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reference classification</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the reference classification, distinguished records constructed to instantiate the operationalised distinction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reviewer accuracy fell below the 50 percent chance rate.</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a distribution in which some reviewers are near-perfect and at least one reviewer had an accuracy below the 50 percent balanced-corpus chance benchmark, and at the point of use that spread is invisible: an organisation routing a record to a single reviewer does not know which part of the distribution it has drawn from.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an unpaired approximation returns p = 0.48.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On a shared set of 10 records carrying 113 submitted determinations under the five-condition instrument,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Trained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0.253 to 0.994</w:t>
            </w:r>
          </w:p>
        </w:tc>
        <w:tc>
          <w:tcPr>
            <w:tcW w:w="1337" w:type="dxa"/>
          </w:tcPr>
          <w:p>
            <w:pPr>
              <w:spacing w:after="0"/>
            </w:pPr>
            <w:r>
              <w:t xml:space="preserve">0.301 to 0.886</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trained-reviewer lower bound is 0.253.</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expert panel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should therefore be read as evidence supporting the feasibility of its underlying review logic, not as evidence that JRS itself improves documentation outcomes.</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is open; that the layer needs operationalising seems to us harder to dispute.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reference classification rules out fitting it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may overstate performance against realistic documentation, for the reasons in Section 4.3.</w:t>
      </w:r>
    </w:p>
    <w:p>
      <w:pPr>
        <w:spacing w:after="140"/>
      </w:pPr>
      <w:r>
        <w:rPr>
          <w:b/>
        </w:rPr>
        <w:t xml:space="preserve">8.3 Item variance is not in the primary analysis, and is small.</w:t>
      </w:r>
      <w:r>
        <w:t xml:space="preserve"> The participant-level interval accounts for reviewer variation and not for the possibility that this particular draw of 24 records was easier or harder than another draw would be. That remains formally true. Appendix C now estimates the size of it: the record variance component is at the boundary with a profile interval of 0.001 to 0.556, against a reviewer SD of 1.769 and a latent-scale reviewer intraclass correlation of 0.488. Item difficulty is small relative to reviewer variation on this corpus and cannot be distinguished from zero, and the sample cannot rule out a moderate effect.</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reference classification,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reference classification,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reference classification by raters not involved in corpus construction and who did not see the hypotheses; reviewers blind to that classification,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provides initial evidence for one link in a validation chain: an international panel of sixteen independent experts, reading constructed AI-generated records cold and blind to an independently reproduced reference classification, distinguished the constructed cases at 83.9 percent accuracy, clearing a threshold set before the data were seen. It also establishes that those same experts vary widely among themselves, and that a pre-registered reliability criterion was not met on the sample available.</w:t>
      </w:r>
    </w:p>
    <w:p>
      <w:pPr>
        <w:spacing w:after="140"/>
      </w:pPr>
      <w:r>
        <w:t xml:space="preserve">What the paper does not establish is longer than what it does, and Section 10 lists it. An operationalised property can be detectable before its criterion validity, generalisability, or intervention value has been established. Establishing detectability is what makes those subsequent questions empirically testable,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the corpus construction log, including generation model, version, date, prompt, and extent of human editing per record; the full reference classification with the reason and evidentiary defect or support for each record and the JRS conditions implicated; the instructions given to the blind reference raters and their record-by-record reproduction result; coded participant-level response data, released subject to the study's access and confidentiality terms;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Across the 113 overall determinations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The condition-level labels vary systematically with the overall determination, as expected because the conditions contribute to that determination. This descriptive association does not establish independent discriminating validity. Across the 565 condition-level labels, evidentiary sufficiency was most often recorded as not passing at 77.9 percent, followed by chronological integrity, decision-process traceability, reconstructability, and basis identification at 65.5, 64.6, 57.5, and 51.3 percent respectively.</w:t>
      </w:r>
    </w:p>
    <w:p>
      <w:pPr>
        <w:spacing w:after="140"/>
      </w:pPr>
      <w:r>
        <w:t xml:space="preserve">The instrument's three levels are all exercised. Across the 565 condition-level labels, the lowest coding level was recorded 216 times, the pass level 207 times, and the middle level 142 times. The lowest level appeared at least once in 77 of the 113 overall determinations. The separations above are therefore across the full scale rather than between the top two levels.</w:t>
      </w:r>
    </w:p>
    <w:p>
      <w:pPr>
        <w:pStyle w:val="Heading2"/>
        <w:spacing w:after="140"/>
      </w:pPr>
      <w:r>
        <w:t xml:space="preserve">Appendix C. Reviewer and item variance</w:t>
      </w:r>
    </w:p>
    <w:p>
      <w:pPr>
        <w:spacing w:after="140"/>
      </w:pPr>
      <w:r>
        <w:rPr>
          <w:b/>
        </w:rPr>
        <w:t xml:space="preserve">Status: exploratory.</w:t>
      </w:r>
      <w:r>
        <w:t xml:space="preserve"> Specified after the pre-registration, in response to peer critique, and labelled exploratory throughout. It does not bear on the pre-registered primary criterion in Section 6.1, which is unchanged.</w:t>
      </w:r>
    </w:p>
    <w:p>
      <w:pPr>
        <w:spacing w:after="140"/>
      </w:pPr>
      <w:r>
        <w:t xml:space="preserve">The primary analysis treats the reviewer as the unit of observation and does not model record difficulty. The crossed analysis adds the records as a second random factor (Bates et al., 2015; Barr et al., 2013):</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by Laplace-approximated maximum likelihood over all 384 graded reads from 16 reviewers and 24 records, with no participant excluded by the pre-registered rule.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Component</w:t>
            </w:r>
          </w:p>
        </w:tc>
        <w:tc>
          <w:tcPr>
            <w:tcW w:w="3120" w:type="dxa"/>
          </w:tcPr>
          <w:p>
            <w:pPr>
              <w:spacing w:after="0"/>
            </w:pPr>
            <w:r>
              <w:t xml:space="preserve">Estimate</w:t>
            </w:r>
          </w:p>
        </w:tc>
        <w:tc>
          <w:tcPr>
            <w:tcW w:w="3120" w:type="dxa"/>
          </w:tcPr>
          <w:p>
            <w:pPr>
              <w:spacing w:after="0"/>
            </w:pPr>
            <w:r>
              <w:t xml:space="preserve">Profile 95% interval</w:t>
            </w:r>
          </w:p>
        </w:tc>
      </w:tr>
      <w:tr>
        <w:tc>
          <w:tcPr>
            <w:tcW w:w="3120" w:type="dxa"/>
          </w:tcPr>
          <w:p>
            <w:pPr>
              <w:spacing w:after="0"/>
            </w:pPr>
            <w:r>
              <w:t xml:space="preserve">Intercept (logit)</w:t>
            </w:r>
          </w:p>
        </w:tc>
        <w:tc>
          <w:tcPr>
            <w:tcW w:w="3120" w:type="dxa"/>
          </w:tcPr>
          <w:p>
            <w:pPr>
              <w:spacing w:after="0"/>
            </w:pPr>
            <w:r>
              <w:t xml:space="preserve">2.106</w:t>
            </w:r>
          </w:p>
        </w:tc>
        <w:tc>
          <w:tcPr>
            <w:tcW w:w="3120" w:type="dxa"/>
          </w:tcPr>
          <w:p>
            <w:pPr>
              <w:spacing w:after="0"/>
            </w:pPr>
            <w:r>
              <w:t/>
            </w:r>
          </w:p>
        </w:tc>
      </w:tr>
      <w:tr>
        <w:tc>
          <w:tcPr>
            <w:tcW w:w="3120" w:type="dxa"/>
          </w:tcPr>
          <w:p>
            <w:pPr>
              <w:spacing w:after="0"/>
            </w:pPr>
            <w:r>
              <w:t xml:space="preserve">Intercept as a probability, average reviewer on an average record</w:t>
            </w:r>
          </w:p>
        </w:tc>
        <w:tc>
          <w:tcPr>
            <w:tcW w:w="3120" w:type="dxa"/>
          </w:tcPr>
          <w:p>
            <w:pPr>
              <w:spacing w:after="0"/>
            </w:pPr>
            <w:r>
              <w:t xml:space="preserve">89.2%</w:t>
            </w:r>
          </w:p>
        </w:tc>
        <w:tc>
          <w:tcPr>
            <w:tcW w:w="3120" w:type="dxa"/>
          </w:tcPr>
          <w:p>
            <w:pPr>
              <w:spacing w:after="0"/>
            </w:pPr>
            <w:r>
              <w:t/>
            </w:r>
          </w:p>
        </w:tc>
      </w:tr>
      <w:tr>
        <w:tc>
          <w:tcPr>
            <w:tcW w:w="3120" w:type="dxa"/>
          </w:tcPr>
          <w:p>
            <w:pPr>
              <w:spacing w:after="0"/>
            </w:pPr>
            <w:r>
              <w:t xml:space="preserve">Reviewer SD</w:t>
            </w:r>
          </w:p>
        </w:tc>
        <w:tc>
          <w:tcPr>
            <w:tcW w:w="3120" w:type="dxa"/>
          </w:tcPr>
          <w:p>
            <w:pPr>
              <w:spacing w:after="0"/>
            </w:pPr>
            <w:r>
              <w:rPr>
                <w:b/>
              </w:rPr>
              <w:t xml:space="preserve">1.769</w:t>
            </w:r>
          </w:p>
        </w:tc>
        <w:tc>
          <w:tcPr>
            <w:tcW w:w="3120" w:type="dxa"/>
          </w:tcPr>
          <w:p>
            <w:pPr>
              <w:spacing w:after="0"/>
            </w:pPr>
            <w:r>
              <w:t xml:space="preserve">1.292 to 3.000</w:t>
            </w:r>
          </w:p>
        </w:tc>
      </w:tr>
      <w:tr>
        <w:tc>
          <w:tcPr>
            <w:tcW w:w="3120" w:type="dxa"/>
          </w:tcPr>
          <w:p>
            <w:pPr>
              <w:spacing w:after="0"/>
            </w:pPr>
            <w:r>
              <w:t xml:space="preserve">Record SD</w:t>
            </w:r>
          </w:p>
        </w:tc>
        <w:tc>
          <w:tcPr>
            <w:tcW w:w="3120" w:type="dxa"/>
          </w:tcPr>
          <w:p>
            <w:pPr>
              <w:spacing w:after="0"/>
            </w:pPr>
            <w:r>
              <w:rPr>
                <w:b/>
              </w:rPr>
              <w:t xml:space="preserve">0.011</w:t>
            </w:r>
          </w:p>
        </w:tc>
        <w:tc>
          <w:tcPr>
            <w:tcW w:w="3120" w:type="dxa"/>
          </w:tcPr>
          <w:p>
            <w:pPr>
              <w:spacing w:after="0"/>
            </w:pPr>
            <w:r>
              <w:t xml:space="preserve">0.001 to 0.556</w:t>
            </w:r>
          </w:p>
        </w:tc>
      </w:tr>
      <w:tr>
        <w:tc>
          <w:tcPr>
            <w:tcW w:w="3120" w:type="dxa"/>
          </w:tcPr>
          <w:p>
            <w:pPr>
              <w:spacing w:after="0"/>
            </w:pPr>
            <w:r>
              <w:t xml:space="preserve">Reviewer variance</w:t>
            </w:r>
          </w:p>
        </w:tc>
        <w:tc>
          <w:tcPr>
            <w:tcW w:w="3120" w:type="dxa"/>
          </w:tcPr>
          <w:p>
            <w:pPr>
              <w:spacing w:after="0"/>
            </w:pPr>
            <w:r>
              <w:t xml:space="preserve">3.130</w:t>
            </w:r>
          </w:p>
        </w:tc>
        <w:tc>
          <w:tcPr>
            <w:tcW w:w="3120" w:type="dxa"/>
          </w:tcPr>
          <w:p>
            <w:pPr>
              <w:spacing w:after="0"/>
            </w:pPr>
            <w:r>
              <w:t/>
            </w:r>
          </w:p>
        </w:tc>
      </w:tr>
      <w:tr>
        <w:tc>
          <w:tcPr>
            <w:tcW w:w="3120" w:type="dxa"/>
          </w:tcPr>
          <w:p>
            <w:pPr>
              <w:spacing w:after="0"/>
            </w:pPr>
            <w:r>
              <w:t xml:space="preserve">Record variance</w:t>
            </w:r>
          </w:p>
        </w:tc>
        <w:tc>
          <w:tcPr>
            <w:tcW w:w="3120" w:type="dxa"/>
          </w:tcPr>
          <w:p>
            <w:pPr>
              <w:spacing w:after="0"/>
            </w:pPr>
            <w:r>
              <w:t xml:space="preserve">0.0001</w:t>
            </w:r>
          </w:p>
        </w:tc>
        <w:tc>
          <w:tcPr>
            <w:tcW w:w="3120" w:type="dxa"/>
          </w:tcPr>
          <w:p>
            <w:pPr>
              <w:spacing w:after="0"/>
            </w:pPr>
            <w:r>
              <w:t/>
            </w:r>
          </w:p>
        </w:tc>
      </w:tr>
      <w:tr>
        <w:tc>
          <w:tcPr>
            <w:tcW w:w="3120" w:type="dxa"/>
          </w:tcPr>
          <w:p>
            <w:pPr>
              <w:spacing w:after="0"/>
            </w:pPr>
            <w:r>
              <w:t xml:space="preserve">Intraclass correlation, reviewer</w:t>
            </w:r>
          </w:p>
        </w:tc>
        <w:tc>
          <w:tcPr>
            <w:tcW w:w="3120" w:type="dxa"/>
          </w:tcPr>
          <w:p>
            <w:pPr>
              <w:spacing w:after="0"/>
            </w:pPr>
            <w:r>
              <w:rPr>
                <w:b/>
              </w:rPr>
              <w:t xml:space="preserve">0.488</w:t>
            </w:r>
          </w:p>
        </w:tc>
        <w:tc>
          <w:tcPr>
            <w:tcW w:w="3120" w:type="dxa"/>
          </w:tcPr>
          <w:p>
            <w:pPr>
              <w:spacing w:after="0"/>
            </w:pPr>
            <w:r>
              <w:t/>
            </w:r>
          </w:p>
        </w:tc>
      </w:tr>
      <w:tr>
        <w:tc>
          <w:tcPr>
            <w:tcW w:w="3120" w:type="dxa"/>
          </w:tcPr>
          <w:p>
            <w:pPr>
              <w:spacing w:after="0"/>
            </w:pPr>
            <w:r>
              <w:t xml:space="preserve">Intraclass correlation, record</w:t>
            </w:r>
          </w:p>
        </w:tc>
        <w:tc>
          <w:tcPr>
            <w:tcW w:w="3120" w:type="dxa"/>
          </w:tcPr>
          <w:p>
            <w:pPr>
              <w:spacing w:after="0"/>
            </w:pPr>
            <w:r>
              <w:t xml:space="preserve">0.0000</w:t>
            </w:r>
          </w:p>
        </w:tc>
        <w:tc>
          <w:tcPr>
            <w:tcW w:w="3120" w:type="dxa"/>
          </w:tcPr>
          <w:p>
            <w:pPr>
              <w:spacing w:after="0"/>
            </w:pPr>
            <w:r>
              <w:t/>
            </w:r>
          </w:p>
        </w:tc>
      </w:tr>
    </w:tbl>
    <w:p>
      <w:pPr/>
      <w:r>
        <w:t/>
      </w:r>
    </w:p>
    <w:p>
      <w:pPr>
        <w:pStyle w:val="Heading3"/>
        <w:spacing w:after="140"/>
      </w:pPr>
      <w:r>
        <w:t xml:space="preserve">What this answers</w:t>
      </w:r>
    </w:p>
    <w:p>
      <w:pPr>
        <w:spacing w:after="140"/>
      </w:pPr>
      <w:r>
        <w:t xml:space="preserve">Appendix C was written before the analysis was run, and it named two questions in advance so the result could not be read selectively afterwards. Both now have answers, and they point the same way.</w:t>
      </w:r>
    </w:p>
    <w:p>
      <w:pPr>
        <w:spacing w:after="140"/>
      </w:pPr>
      <w:r>
        <w:rPr>
          <w:b/>
        </w:rPr>
        <w:t xml:space="preserve">Does modelling item difficulty materially alter the panel accuracy estimate?</w:t>
      </w:r>
      <w:r>
        <w:t xml:space="preserve"> No. The intercept places an average reviewer on an average record at 89.2 percent, and the participant-level mean of 83.9 percent reported in Section 6.1 sits inside the reviewer-level spread the model estimates. The exploratory crossed model does not materially alter the estimated reviewer-level performance, and the fitted record component is substantially smaller than the reviewer component on this corpus.</w:t>
      </w:r>
    </w:p>
    <w:p>
      <w:pPr>
        <w:spacing w:after="140"/>
      </w:pPr>
      <w:r>
        <w:rPr>
          <w:b/>
        </w:rPr>
        <w:t xml:space="preserve">How much of the modelled random-effect variation is associated with reviewers rather than records?</w:t>
      </w:r>
      <w:r>
        <w:t xml:space="preserve"> The estimated reviewer component is substantially larger than the record component. On the model's latent logistic scale, the estimated reviewer-level intraclass correlation is </w:t>
      </w:r>
      <w:r>
        <w:rPr>
          <w:b/>
        </w:rPr>
        <w:t xml:space="preserve">0.488</w:t>
      </w:r>
      <w:r>
        <w:t xml:space="preserve">, indicating substantially greater between-reviewer than between-record variation in this dataset. The record-level intraclass correlation is </w:t>
      </w:r>
      <w:r>
        <w:rPr>
          <w:b/>
        </w:rPr>
        <w:t xml:space="preserve">0.0000</w:t>
      </w:r>
      <w:r>
        <w:t xml:space="preserve">.</w:t>
      </w:r>
    </w:p>
    <w:p>
      <w:pPr>
        <w:spacing w:after="140"/>
      </w:pPr>
      <w:r>
        <w:t xml:space="preserve">The raw tables say the same thing without any model. Record-level accuracy ranged from 62.5 to 93.8 percent, whereas reviewer-level accuracy ranged from 37.5 to 100 percent. Every record was classified correctly by at least ten of the sixteen reviewers.</w:t>
      </w:r>
    </w:p>
    <w:p>
      <w:pPr>
        <w:pStyle w:val="Heading3"/>
        <w:spacing w:after="140"/>
      </w:pPr>
      <w:r>
        <w:t xml:space="preserve">The record component is a singular fit and must not be read as a zero</w:t>
      </w:r>
    </w:p>
    <w:p>
      <w:pPr>
        <w:spacing w:after="140"/>
      </w:pPr>
      <w:r>
        <w:t xml:space="preserve">The record SD is estimated at 0.011, which is on the boundary. </w:t>
      </w:r>
      <w:r>
        <w:rPr>
          <w:b/>
        </w:rPr>
        <w:t xml:space="preserve">That is not evidence that record difficulty does not exist.</w:t>
      </w:r>
      <w:r>
        <w:t xml:space="preserve"> At sixteen reviewers by twenty-four records the record component is weakly identified, and a correct estimator lands on the boundary on roughly one dataset in six when the true value is genuinely non-zero; that rate was measured by simulation on data of this exact shape before the real fit was run. The profile-likelihood interval, </w:t>
      </w:r>
      <w:r>
        <w:rPr>
          <w:b/>
        </w:rPr>
        <w:t xml:space="preserve">0.001 to 0.556</w:t>
      </w:r>
      <w:r>
        <w:t xml:space="preserve">, is the informative quantity and it does not exclude a moderate record effect.</w:t>
      </w:r>
    </w:p>
    <w:p>
      <w:pPr>
        <w:spacing w:after="140"/>
      </w:pPr>
      <w:r>
        <w:t xml:space="preserve">The defensible statement is therefore narrow: on this corpus, item difficulty is small relative to reviewer variation and cannot be distinguished from zero, and the sample cannot rule out a moderate effect.</w:t>
      </w:r>
    </w:p>
    <w:p>
      <w:pPr>
        <w:pStyle w:val="Heading3"/>
        <w:spacing w:after="140"/>
      </w:pPr>
      <w:r>
        <w:t xml:space="preserve">Consequence for Section 8.3</w:t>
      </w:r>
    </w:p>
    <w:p>
      <w:pPr>
        <w:spacing w:after="140"/>
      </w:pPr>
      <w:r>
        <w:rPr>
          <w:b/>
        </w:rPr>
        <w:t xml:space="preserve">Section 8.3 states this limitation more strongly than the data now supports, and the correction runs in the paper's favour.</w:t>
      </w:r>
      <w:r>
        <w:t xml:space="preserve"> That section warns that the participant-level interval does not account for the possibility that this draw of 24 records was easier or harder than another draw would be. That remains formally true. The estimated size of the effect is small, and the dominant source of uncertainty in this study is the reviewers, not the corpus.</w:t>
      </w:r>
    </w:p>
    <w:p>
      <w:pPr>
        <w:spacing w:after="140"/>
      </w:pPr>
      <w:r>
        <w:rPr>
          <w:b/>
        </w:rPr>
        <w:t xml:space="preserve">Section 6.3 is strengthened.</w:t>
      </w:r>
      <w:r>
        <w:t xml:space="preserve"> Reviewer heterogeneity was reported there as the operationally important result on the strength of the raw spread alone. The model puts a number on it: it is the largest identified source of variance in the study.</w:t>
      </w:r>
    </w:p>
    <w:p>
      <w:pPr>
        <w:pStyle w:val="Heading3"/>
        <w:spacing w:after="140"/>
      </w:pPr>
      <w:r>
        <w:t xml:space="preserve">Item-level accuracy, hardest first</w:t>
      </w:r>
    </w:p>
    <w:p>
      <w:pPr>
        <w:spacing w:after="140"/>
      </w:pPr>
      <w:r>
        <w:t xml:space="preserve">Records are constructed and de-identified, and their identifiers carry no information about a person.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Record</w:t>
            </w:r>
          </w:p>
        </w:tc>
        <w:tc>
          <w:tcPr>
            <w:tcW w:w="3120" w:type="dxa"/>
          </w:tcPr>
          <w:p>
            <w:pPr>
              <w:spacing w:after="0"/>
            </w:pPr>
            <w:r>
              <w:t xml:space="preserve">Correct</w:t>
            </w:r>
          </w:p>
        </w:tc>
        <w:tc>
          <w:tcPr>
            <w:tcW w:w="3120" w:type="dxa"/>
          </w:tcPr>
          <w:p>
            <w:pPr>
              <w:spacing w:after="0"/>
            </w:pPr>
            <w:r>
              <w:t xml:space="preserve">Accuracy</w:t>
            </w:r>
          </w:p>
        </w:tc>
      </w:tr>
      <w:tr>
        <w:tc>
          <w:tcPr>
            <w:tcW w:w="3120" w:type="dxa"/>
          </w:tcPr>
          <w:p>
            <w:pPr>
              <w:spacing w:after="0"/>
            </w:pPr>
            <w:r>
              <w:t xml:space="preserve">R04</w:t>
            </w:r>
          </w:p>
        </w:tc>
        <w:tc>
          <w:tcPr>
            <w:tcW w:w="3120" w:type="dxa"/>
          </w:tcPr>
          <w:p>
            <w:pPr>
              <w:spacing w:after="0"/>
            </w:pPr>
            <w:r>
              <w:t xml:space="preserve">10 of 16</w:t>
            </w:r>
          </w:p>
        </w:tc>
        <w:tc>
          <w:tcPr>
            <w:tcW w:w="3120" w:type="dxa"/>
          </w:tcPr>
          <w:p>
            <w:pPr>
              <w:spacing w:after="0"/>
            </w:pPr>
            <w:r>
              <w:t xml:space="preserve">62.5%</w:t>
            </w:r>
          </w:p>
        </w:tc>
      </w:tr>
      <w:tr>
        <w:tc>
          <w:tcPr>
            <w:tcW w:w="3120" w:type="dxa"/>
          </w:tcPr>
          <w:p>
            <w:pPr>
              <w:spacing w:after="0"/>
            </w:pPr>
            <w:r>
              <w:t xml:space="preserve">R01</w:t>
            </w:r>
          </w:p>
        </w:tc>
        <w:tc>
          <w:tcPr>
            <w:tcW w:w="3120" w:type="dxa"/>
          </w:tcPr>
          <w:p>
            <w:pPr>
              <w:spacing w:after="0"/>
            </w:pPr>
            <w:r>
              <w:t xml:space="preserve">11 of 16</w:t>
            </w:r>
          </w:p>
        </w:tc>
        <w:tc>
          <w:tcPr>
            <w:tcW w:w="3120" w:type="dxa"/>
          </w:tcPr>
          <w:p>
            <w:pPr>
              <w:spacing w:after="0"/>
            </w:pPr>
            <w:r>
              <w:t xml:space="preserve">68.8%</w:t>
            </w:r>
          </w:p>
        </w:tc>
      </w:tr>
      <w:tr>
        <w:tc>
          <w:tcPr>
            <w:tcW w:w="3120" w:type="dxa"/>
          </w:tcPr>
          <w:p>
            <w:pPr>
              <w:spacing w:after="0"/>
            </w:pPr>
            <w:r>
              <w:t xml:space="preserve">R10</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R15</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R17</w:t>
            </w:r>
          </w:p>
        </w:tc>
        <w:tc>
          <w:tcPr>
            <w:tcW w:w="3120" w:type="dxa"/>
          </w:tcPr>
          <w:p>
            <w:pPr>
              <w:spacing w:after="0"/>
            </w:pPr>
            <w:r>
              <w:t xml:space="preserve">12 of 16</w:t>
            </w:r>
          </w:p>
        </w:tc>
        <w:tc>
          <w:tcPr>
            <w:tcW w:w="3120" w:type="dxa"/>
          </w:tcPr>
          <w:p>
            <w:pPr>
              <w:spacing w:after="0"/>
            </w:pPr>
            <w:r>
              <w:t xml:space="preserve">75.0%</w:t>
            </w:r>
          </w:p>
        </w:tc>
      </w:tr>
      <w:tr>
        <w:tc>
          <w:tcPr>
            <w:tcW w:w="3120" w:type="dxa"/>
          </w:tcPr>
          <w:p>
            <w:pPr>
              <w:spacing w:after="0"/>
            </w:pPr>
            <w:r>
              <w:t xml:space="preserve">R06</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R11</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R12</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R18</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R20</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R24</w:t>
            </w:r>
          </w:p>
        </w:tc>
        <w:tc>
          <w:tcPr>
            <w:tcW w:w="3120" w:type="dxa"/>
          </w:tcPr>
          <w:p>
            <w:pPr>
              <w:spacing w:after="0"/>
            </w:pPr>
            <w:r>
              <w:t xml:space="preserve">13 of 16</w:t>
            </w:r>
          </w:p>
        </w:tc>
        <w:tc>
          <w:tcPr>
            <w:tcW w:w="3120" w:type="dxa"/>
          </w:tcPr>
          <w:p>
            <w:pPr>
              <w:spacing w:after="0"/>
            </w:pPr>
            <w:r>
              <w:t xml:space="preserve">81.2%</w:t>
            </w:r>
          </w:p>
        </w:tc>
      </w:tr>
      <w:tr>
        <w:tc>
          <w:tcPr>
            <w:tcW w:w="3120" w:type="dxa"/>
          </w:tcPr>
          <w:p>
            <w:pPr>
              <w:spacing w:after="0"/>
            </w:pPr>
            <w:r>
              <w:t xml:space="preserve">R07</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R16</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R19</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R21</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R23</w:t>
            </w:r>
          </w:p>
        </w:tc>
        <w:tc>
          <w:tcPr>
            <w:tcW w:w="3120" w:type="dxa"/>
          </w:tcPr>
          <w:p>
            <w:pPr>
              <w:spacing w:after="0"/>
            </w:pPr>
            <w:r>
              <w:t xml:space="preserve">14 of 16</w:t>
            </w:r>
          </w:p>
        </w:tc>
        <w:tc>
          <w:tcPr>
            <w:tcW w:w="3120" w:type="dxa"/>
          </w:tcPr>
          <w:p>
            <w:pPr>
              <w:spacing w:after="0"/>
            </w:pPr>
            <w:r>
              <w:t xml:space="preserve">87.5%</w:t>
            </w:r>
          </w:p>
        </w:tc>
      </w:tr>
      <w:tr>
        <w:tc>
          <w:tcPr>
            <w:tcW w:w="3120" w:type="dxa"/>
          </w:tcPr>
          <w:p>
            <w:pPr>
              <w:spacing w:after="0"/>
            </w:pPr>
            <w:r>
              <w:t xml:space="preserve">R02</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R03</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R05</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R08</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R09</w:t>
            </w:r>
          </w:p>
        </w:tc>
        <w:tc>
          <w:tcPr>
            <w:tcW w:w="3120" w:type="dxa"/>
          </w:tcPr>
          <w:p>
            <w:pPr>
              <w:spacing w:after="0"/>
            </w:pPr>
            <w:r>
              <w:t xml:space="preserve">15 of 16</w:t>
            </w:r>
          </w:p>
        </w:tc>
        <w:tc>
          <w:tcPr>
            <w:tcW w:w="3120" w:type="dxa"/>
          </w:tcPr>
          <w:p>
            <w:pPr>
              <w:spacing w:after="0"/>
            </w:pPr>
            <w:r>
              <w:t xml:space="preserve">93.8%</w:t>
            </w:r>
          </w:p>
        </w:tc>
      </w:tr>
      <w:tr>
        <w:tc>
          <w:tcPr>
            <w:tcW w:w="3120" w:type="dxa"/>
          </w:tcPr>
          <w:p>
            <w:pPr>
              <w:spacing w:after="0"/>
            </w:pPr>
            <w:r>
              <w:t xml:space="preserve">R22</w:t>
            </w:r>
          </w:p>
        </w:tc>
        <w:tc>
          <w:tcPr>
            <w:tcW w:w="3120" w:type="dxa"/>
          </w:tcPr>
          <w:p>
            <w:pPr>
              <w:spacing w:after="0"/>
            </w:pPr>
            <w:r>
              <w:t xml:space="preserve">15 of 16</w:t>
            </w:r>
          </w:p>
        </w:tc>
        <w:tc>
          <w:tcPr>
            <w:tcW w:w="3120" w:type="dxa"/>
          </w:tcPr>
          <w:p>
            <w:pPr>
              <w:spacing w:after="0"/>
            </w:pPr>
            <w:r>
              <w:t xml:space="preserve">93.8%</w:t>
            </w:r>
          </w:p>
        </w:tc>
      </w:tr>
    </w:tbl>
    <w:p>
      <w:pPr/>
      <w:r>
        <w:t/>
      </w:r>
    </w:p>
    <w:p>
      <w:pPr>
        <w:spacing w:after="140"/>
      </w:pPr>
      <w:r>
        <w:rPr>
          <w:b/>
        </w:rPr>
        <w:t xml:space="preserve">The grounded and unsupported classification of each record is deliberately not printed beside these rates.</w:t>
      </w:r>
      <w:r>
        <w:t xml:space="preserve">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Reviewer-level accuracy is reported as a distribution, not a table</w:t>
      </w:r>
    </w:p>
    <w:p>
      <w:pPr>
        <w:spacing w:after="140"/>
      </w:pPr>
      <w:r>
        <w:t xml:space="preserve">Section 6.2 gives the mean, standard deviation, range and perfect-scorer count. A per-reviewer table keyed to study codes is not printed here and will not be, because the contributor roster maps those codes to named people who volunteered unpaid. Publishing a code-labelled ranking would identify the lowest-scoring named professional in the panel, which is not a result and was never a condition of their participation.</w:t>
      </w:r>
    </w:p>
    <w:p>
      <w:pPr>
        <w:pStyle w:val="Heading3"/>
        <w:spacing w:after="140"/>
      </w:pPr>
      <w:r>
        <w:t xml:space="preserve">Reproducibility</w:t>
      </w:r>
    </w:p>
    <w:p>
      <w:pPr>
        <w:spacing w:after="140"/>
      </w:pPr>
      <w:r>
        <w:t xml:space="preserve">Every figure in this appendix is computed by </w:t>
      </w:r>
      <w:r>
        <w:rPr>
          <w:rFonts w:ascii="Consolas" w:hAnsi="Consolas"/>
        </w:rPr>
        <w:t xml:space="preserve">api/variance-6b1d90fa2c47e8b3</w:t>
      </w:r>
      <w:r>
        <w:t xml:space="preserve">, which reads the per-read table server-side and returns aggregates only. The estimator was validated by simulation against known variance components before use, and its JavaScript implementation was checked for numeric parity against an independent Python implementation on identical data, agreeing to four decimal places. The endpoint reproduces the Section 6.1 participant-level mean of 83.9 percent and the six perfect scorers exactly, from the raw reads, which is an independent check on the primary analysis.</w:t>
      </w:r>
    </w:p>
    <w:p>
      <w:pPr>
        <w:pStyle w:val="Heading2"/>
        <w:spacing w:after="140"/>
      </w:pPr>
      <w:r>
        <w:t xml:space="preserve">Acknowledgments</w:t>
      </w:r>
    </w:p>
    <w:p>
      <w:pPr>
        <w:spacing w:after="140"/>
      </w:pPr>
      <w:r>
        <w:rPr>
          <w:b/>
        </w:rPr>
        <w:t xml:space="preserve">The detection panel, 16 independent experts across 11 countries and 5 continents</w:t>
      </w:r>
      <w:r>
        <w:t xml:space="preserve">, each read the full 24-record corpus cold, blind to the reference classification, and returned 384 graded judgments. This paper's result is theirs. </w:t>
      </w:r>
      <w:r>
        <w:rPr>
          <w:b/>
        </w:rPr>
        <w:t xml:space="preserve">The reliability study, 25 raters</w:t>
      </w:r>
      <w:r>
        <w:t xml:space="preserve">, eight expert and seventeen trained, produced the coefficients in Section 6.5 and the per-condition analysis in Appendix B, which exists only because they recorded a judgment on each of the five conditions separately rather than only the overall read. </w:t>
      </w:r>
      <w:r>
        <w:rPr>
          <w:b/>
        </w:rPr>
        <w:t xml:space="preserve">The comparison study, 20 independent experts</w:t>
      </w:r>
      <w:r>
        <w:t xml:space="preserve">, completed the same corpus under the design described in Section 5 without knowing what the comparison was testing; their work is reported in its own paper.</w:t>
      </w:r>
    </w:p>
    <w:p>
      <w:pPr>
        <w:spacing w:after="140"/>
      </w:pPr>
      <w:r>
        <w:t xml:space="preserve">All 58 worked unpaid, in a personal capacity, with nothing at stake in the outcome. Programme-level participation figures are recorded in the study repository rather than here, because they are acknowledgment and not results: the detection finding in Section 6 rests on the sixteen panel members and their 384 graded reads and on nothing else.</w:t>
      </w:r>
    </w:p>
    <w:p>
      <w:pPr>
        <w:spacing w:after="140"/>
      </w:pPr>
      <w:r>
        <w:t xml:space="preserve">Reviewers are recognised as named contributors with their consent; none is a co-author of this paper.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