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Why AI-assisted records that cannot explain themselves have become a transatlantic governance problem, and what accountable documentation now requires.</w:t>
      </w:r>
    </w:p>
    <w:p>
      <w:pPr>
        <w:spacing w:after="30"/>
      </w:pPr>
      <w:r>
        <w:rPr>
          <w:rFonts w:ascii="Georgia" w:cs="Georgia" w:eastAsia="Georgia" w:hAnsi="Georgia"/>
          <w:b/>
          <w:bCs/>
          <w:color w:val="141414"/>
          <w:sz w:val="26"/>
          <w:szCs w:val="26"/>
        </w:rPr>
        <w:t xml:space="preserve">By Gabriela Bar and Phillip Wikes</w:t>
      </w:r>
    </w:p>
    <w:p>
      <w:pPr>
        <w:pBdr>
          <w:bottom w:val="single" w:color="7A5E28" w:sz="6" w:space="8"/>
        </w:pBdr>
        <w:spacing w:after="130"/>
      </w:pPr>
      <w:r>
        <w:rPr>
          <w:rFonts w:ascii="Georgia" w:cs="Georgia" w:eastAsia="Georgia" w:hAnsi="Georgia"/>
          <w:i/>
          <w:iCs/>
          <w:color w:val="555555"/>
          <w:sz w:val="18"/>
          <w:szCs w:val="18"/>
        </w:rPr>
        <w:t xml:space="preserve">Gabriela Bar, PhD, Attorney at Law, founder of Gabriela Bar Law and AI (Wroclaw), advising on trustworthy AI and data-protection law.  Phillip Wikes, AI Governance and Cognitive Risk Advisor, former Lead Civil Rights Officer, Maryland Commission on Civil Rights.</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A record is a kind of promise. It tells whoever reads it later, a regulator, a court, a colleague, the person whose life it describes, that a decision was made for reasons that can be examined. When artificial intelligence drafts the record, that promise is easy to break without anyone noticing. The text looks complete. The reasoning behind it may already be gone.</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independently explain why a consequential decision was made. It is not a technology problem in the usual sense. It is an accountability problem, and accountability is where law, ethics, and trust meet.</w:t>
      </w:r>
    </w:p>
    <w:p>
      <w:pPr>
        <w:spacing w:after="130"/>
        <w:jc w:val="both"/>
      </w:pPr>
      <w:r>
        <w:rPr>
          <w:rFonts w:ascii="Georgia" w:cs="Georgia" w:eastAsia="Georgia" w:hAnsi="Georgia"/>
          <w:color w:val="1a1a1a"/>
          <w:sz w:val="21"/>
          <w:szCs w:val="21"/>
        </w:rPr>
        <w:t xml:space="preserve">One of us spent more than a decade reading such records after the fact, for a civil rights agency, and saw the same pattern repeat: the decision was often sound, and the record could not show why. The other has spent a career helping organizations build governance that anticipates regulation rather than reacting to it. From both vantage points the conclusion is the same. As AI drafts more of the documents behind consequential decisions, the evidence that would let anyone reconstruct those decisions is quietly disappearing.</w:t>
      </w:r>
    </w:p>
    <w:p>
      <w:pPr>
        <w:spacing w:after="130"/>
        <w:jc w:val="both"/>
      </w:pPr>
      <w:r>
        <w:rPr>
          <w:rFonts w:ascii="Georgia" w:cs="Georgia" w:eastAsia="Georgia" w:hAnsi="Georgia"/>
          <w:color w:val="1a1a1a"/>
          <w:sz w:val="21"/>
          <w:szCs w:val="21"/>
        </w:rPr>
        <w:t xml:space="preserve">We write from both European and United States perspectives, because the exposure is now transatlantic. In Europe, the accountability principle at the heart of the GDPR and the record-keeping expectations of the EU AI Act ask organizations to show, not merely assert, how a decision was reached. In the United States, the same gap surfaces in discovery and in the burden-shifting tests that decide employment and housing disputes. The legal vocabulary differs. The underlying demand is the same: a record must be able to answer for itself.</w:t>
      </w:r>
    </w:p>
    <w:p>
      <w:pPr>
        <w:spacing w:after="130"/>
        <w:jc w:val="both"/>
      </w:pPr>
      <w:r>
        <w:rPr>
          <w:rFonts w:ascii="Georgia" w:cs="Georgia" w:eastAsia="Georgia" w:hAnsi="Georgia"/>
          <w:color w:val="1a1a1a"/>
          <w:sz w:val="21"/>
          <w:szCs w:val="21"/>
        </w:rPr>
        <w:t xml:space="preserve">AI-assisted documentation should be treated as presumptively reviewable, whether by a regulator, an auditor, or a court. The most practical moment to meet that standard is before the record is finalized.</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legally defensible record must do more than state a conclusion. It has to show the factual basis behind that conclusion. When the documentation cannot substantiate the reasoning it claims to reflect, the organization loses the very evidence it needs to defend the decision.</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Consider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Because the risk lives in the aggregate, it can pass every individual review and become visible only when records are examined together.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European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in the analysis that anchors this article.</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w:t>
      </w:r>
      <w:r>
        <w:rPr>
          <w:rFonts w:ascii="Georgia" w:cs="Georgia" w:eastAsia="Georgia" w:hAnsi="Georgia"/>
          <w:b/>
          <w:bCs/>
          <w:color w:val="1a1a1a"/>
          <w:sz w:val="21"/>
          <w:szCs w:val="21"/>
        </w:rPr>
        <w:t xml:space="preserve">Can the record be understood independently of its author? Are its conclusions supported by verifiable, non-AI-generated evidence? Can a neutral reviewer reconstruct the reasoning without additional explanation?</w:t>
      </w:r>
      <w:r>
        <w:rPr>
          <w:rFonts w:ascii="Georgia" w:cs="Georgia" w:eastAsia="Georgia" w:hAnsi="Georgia"/>
          <w:color w:val="1a1a1a"/>
          <w:sz w:val="21"/>
          <w:szCs w:val="21"/>
        </w:rPr>
        <w:t xml:space="preserve">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Risk arises where evidentiary traceability is absent, which is to say where Decision Reconstruction Risk is present. The organizations that will weather the next decade are the ones that treat a record as something that must answer for itself: in a courtroom, before a regulator, and to the person whose life it describes. Records will be judged on whether the reasoning behind them is visible, reproducible, and capable of withstanding independent scrutiny, in Europe and the United States alike.</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models, each from a different vendor,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Bar, PhD,</w:t>
      </w:r>
      <w:r>
        <w:rPr>
          <w:rFonts w:ascii="Georgia" w:cs="Georgia" w:eastAsia="Georgia" w:hAnsi="Georgia"/>
          <w:color w:val="1a1a1a"/>
          <w:sz w:val="21"/>
          <w:szCs w:val="21"/>
        </w:rPr>
        <w:t xml:space="preserve"> is an attorney at law and founder of Gabriela Bar Law and AI in Wroclaw, Poland. She advises organizations on the legal and ethical dimensions of trustworthy AI and data protection, serves as an independent ethics advisor on EU research projects, and is recognized in the Lexology Index: Artificial Intelligence 2026. She has been named among Forbes Top 25 Business Lawyers and TOP100 Women in AI, is a member of the Federation des Barreaux d'Europe, and speaks regularly at academic and industry conferences.</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2026-07-26T11:43:10.904Z</dcterms:created>
  <dcterms:modified xsi:type="dcterms:W3CDTF">2026-07-26T11:43:10.928Z</dcterms:modified>
</cp:coreProperties>
</file>

<file path=docProps/custom.xml><?xml version="1.0" encoding="utf-8"?>
<Properties xmlns="http://schemas.openxmlformats.org/officeDocument/2006/custom-properties" xmlns:vt="http://schemas.openxmlformats.org/officeDocument/2006/docPropsVTypes"/>
</file>