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reviewers as a random factor and correctly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size of the effect is small, and the dominant source of uncertainty in this study is the reviewers, not the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expert and seventeen trained, produced the coefficients in Section 6.5 and the per-condition analysis in Appendix B, which exists only because they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