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submission-final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research/Detection_Article_Final_2026-08-18.md</w:t>
      </w:r>
      <w:r>
        <w:t xml:space="preserve"> (preserved, not overwritten)</w:t>
      </w:r>
    </w:p>
    <w:p>
      <w:pPr>
        <w:spacing w:after="140"/>
      </w:pPr>
      <w:r>
        <w:rPr>
          <w:b/>
        </w:rPr>
        <w:t xml:space="preserve">Output:</w:t>
      </w:r>
      <w:r>
        <w:t xml:space="preserve"> </w:t>
      </w:r>
      <w:r>
        <w:rPr>
          <w:rFonts w:ascii="Consolas" w:hAnsi="Consolas"/>
        </w:rPr>
        <w:t xml:space="preserve">research/Detection_Article_Submission_Final_2026-08-18.md</w:t>
      </w:r>
    </w:p>
    <w:p>
      <w:pPr>
        <w:spacing w:after="140"/>
      </w:pPr>
      <w:r>
        <w:rPr>
          <w:b/>
        </w:rPr>
        <w:t xml:space="preserve">Script:</w:t>
      </w:r>
      <w:r>
        <w:t xml:space="preserve"> </w:t>
      </w:r>
      <w:r>
        <w:rPr>
          <w:rFonts w:ascii="Consolas" w:hAnsi="Consolas"/>
        </w:rPr>
        <w:t xml:space="preserve">scripts/apply_submission_final.py</w:t>
      </w:r>
    </w:p>
    <w:p>
      <w:pPr>
        <w:spacing w:after="140"/>
      </w:pPr>
      <w:r>
        <w:rPr>
          <w:b/>
        </w:rPr>
        <w:t xml:space="preserve">Statistical gate reads:</w:t>
      </w:r>
      <w:r>
        <w:t xml:space="preserve"> </w:t>
      </w:r>
      <w:r>
        <w:rPr>
          <w:rFonts w:ascii="Consolas" w:hAnsi="Consolas"/>
        </w:rPr>
        <w:t xml:space="preserve">research/current_reliability_2026-08-18.json</w:t>
      </w:r>
    </w:p>
    <w:p>
      <w:pPr>
        <w:spacing w:after="140"/>
      </w:pPr>
      <w:r>
        <w:t xml:space="preserve">Fourteen instructed edits. Five change text; nine are preservation constraints compiled into 43 assertions that fail the run if what they protect has moved. No change is filed under "general improvement", because no such category exists here.</w:t>
      </w:r>
    </w:p>
    <w:p>
      <w:pPr>
        <w:pBdr>
          <w:bottom w:val="single" w:sz="6" w:space="1" w:color="AAAAAA"/>
        </w:pBdr>
      </w:pPr>
    </w:p>
    <w:p>
      <w:pPr>
        <w:pStyle w:val="Heading2"/>
        <w:spacing w:after="140"/>
      </w:pPr>
      <w:r>
        <w:t xml:space="preserve">1. Text edits</w:t>
      </w:r>
    </w:p>
    <w:p>
      <w:pPr>
        <w:pStyle w:val="Heading3"/>
        <w:spacing w:after="140"/>
      </w:pPr>
      <w:r>
        <w:t xml:space="preserve">Edit 1. Section 9, Conclusion. APPLIED.</w:t>
      </w:r>
    </w:p>
    <w:p>
      <w:pPr>
        <w:spacing w:after="140"/>
      </w:pPr>
      <w:r>
        <w:rPr>
          <w:b/>
        </w:rPr>
        <w:t xml:space="preserve">Category:</w:t>
      </w:r>
      <w:r>
        <w:t xml:space="preserve"> CLARIFICATION</w:t>
      </w:r>
    </w:p>
    <w:p>
      <w:pPr>
        <w:spacing w:after="140"/>
      </w:pPr>
      <w:r>
        <w:rPr>
          <w:b/>
        </w:rPr>
        <w:t xml:space="preserve">Original wording</w:t>
      </w:r>
    </w:p>
    <w:p>
      <w:pPr>
        <w:spacing w:after="140"/>
      </w:pPr>
      <w:r>
        <w:t xml:space="preserve">&gt; It also establishes that those same experts vary widely among themselves, and that a pre-registered reliability criterion was not met on the sample available.</w:t>
      </w:r>
    </w:p>
    <w:p>
      <w:pPr>
        <w:spacing w:after="140"/>
      </w:pPr>
      <w:r>
        <w:rPr>
          <w:b/>
        </w:rPr>
        <w:t xml:space="preserve">Replacement wording</w:t>
      </w:r>
    </w:p>
    <w:p>
      <w:pPr>
        <w:spacing w:after="140"/>
      </w:pPr>
      <w:r>
        <w:t xml:space="preserve">&gt; It also establishes substantial variation in accuracy among the sixteen detection-panel experts, while the separate reliability sample did not meet the pre-registered lower-bound criterion.</w:t>
      </w:r>
    </w:p>
    <w:p>
      <w:pPr>
        <w:spacing w:after="140"/>
      </w:pPr>
      <w:r>
        <w:rPr>
          <w:b/>
        </w:rPr>
        <w:t xml:space="preserve">Reason.</w:t>
      </w:r>
      <w:r>
        <w:t xml:space="preserve"> "those same experts" reads as though the sixteen detection-panel experts are the reliability sample. They are not: the reliability coefficients come from Study 004, a separate population of 25 raters.</w:t>
      </w:r>
    </w:p>
    <w:p>
      <w:pPr>
        <w:spacing w:after="140"/>
      </w:pPr>
      <w:r>
        <w:rPr>
          <w:b/>
        </w:rPr>
        <w:t xml:space="preserve">Source.</w:t>
      </w:r>
      <w:r>
        <w:t xml:space="preserve"> </w:t>
      </w:r>
      <w:r>
        <w:rPr>
          <w:rFonts w:ascii="Consolas" w:hAnsi="Consolas"/>
        </w:rPr>
        <w:t xml:space="preserve">research/DRR_Detection_Validation_Protocol.md</w:t>
      </w:r>
      <w:r>
        <w:t xml:space="preserve"> section 4 defines Arm A and names no reliability rater code; </w:t>
      </w:r>
      <w:r>
        <w:rPr>
          <w:rFonts w:ascii="Consolas" w:hAnsi="Consolas"/>
        </w:rPr>
        <w:t xml:space="preserve">research/FULL_DATA_ANALYSIS_2026-08-15.txt</w:t>
      </w:r>
      <w:r>
        <w:t xml:space="preserve"> section 3 versus section 8 counts the two populations separately</w:t>
      </w:r>
    </w:p>
    <w:p>
      <w:pPr>
        <w:pStyle w:val="Heading3"/>
        <w:spacing w:after="140"/>
      </w:pPr>
      <w:r>
        <w:t xml:space="preserve">Edit 2. Section 4.7, pre-registered thresholds. APPLIED.</w:t>
      </w:r>
    </w:p>
    <w:p>
      <w:pPr>
        <w:spacing w:after="140"/>
      </w:pPr>
      <w:r>
        <w:rPr>
          <w:b/>
        </w:rPr>
        <w:t xml:space="preserve">Category:</w:t>
      </w:r>
      <w:r>
        <w:t xml:space="preserve"> METHODOLOGICAL</w:t>
      </w:r>
    </w:p>
    <w:p>
      <w:pPr>
        <w:spacing w:after="140"/>
      </w:pPr>
      <w:r>
        <w:rPr>
          <w:b/>
        </w:rPr>
        <w:t xml:space="preserve">Original wording</w:t>
      </w:r>
    </w:p>
    <w:p>
      <w:pPr>
        <w:spacing w:after="140"/>
      </w:pPr>
      <w:r>
        <w:t xml:space="preserve">&gt; </w:t>
      </w: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rPr>
          <w:b/>
        </w:rPr>
        <w:t xml:space="preserve">Replacement wording</w:t>
      </w:r>
    </w:p>
    <w:p>
      <w:pPr>
        <w:spacing w:after="140"/>
      </w:pPr>
      <w:r>
        <w:t xml:space="preserve">&gt; </w:t>
      </w: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rPr>
          <w:b/>
        </w:rPr>
        <w:t xml:space="preserve">Reason.</w:t>
      </w:r>
      <w:r>
        <w:t xml:space="preserve"> "among the expert panel" is ambiguous between the sixteen detection-panel experts and the eight invited expert raters of Study 004, and the floor applies to the reliability analyses, which are reported by reviewer group. Neither threshold value changes.</w:t>
      </w:r>
    </w:p>
    <w:p>
      <w:pPr>
        <w:spacing w:after="140"/>
      </w:pPr>
      <w:r>
        <w:rPr>
          <w:b/>
        </w:rPr>
        <w:t xml:space="preserve">Source.</w:t>
      </w:r>
      <w:r>
        <w:t xml:space="preserve"> </w:t>
      </w:r>
      <w:r>
        <w:rPr>
          <w:rFonts w:ascii="Consolas" w:hAnsi="Consolas"/>
        </w:rPr>
        <w:t xml:space="preserve">research/DRR_Detection_Validation_Protocol.md:66</w:t>
      </w:r>
      <w:r>
        <w:t xml:space="preserve"> states the floor without scoping it to a named panel; Section 6.5 of this manuscript reports two reviewer groups</w:t>
      </w:r>
    </w:p>
    <w:p>
      <w:pPr>
        <w:pStyle w:val="Heading3"/>
        <w:spacing w:after="140"/>
      </w:pPr>
      <w:r>
        <w:t xml:space="preserve">Edit 3. Section 6.5, analysed denominator. APPLIED.</w:t>
      </w:r>
    </w:p>
    <w:p>
      <w:pPr>
        <w:spacing w:after="140"/>
      </w:pPr>
      <w:r>
        <w:rPr>
          <w:b/>
        </w:rPr>
        <w:t xml:space="preserve">Category:</w:t>
      </w:r>
      <w:r>
        <w:t xml:space="preserve"> METHODOLOGICAL</w:t>
      </w:r>
    </w:p>
    <w:p>
      <w:pPr>
        <w:spacing w:after="140"/>
      </w:pPr>
      <w:r>
        <w:rPr>
          <w:b/>
        </w:rPr>
        <w:t xml:space="preserve">Original wording</w:t>
      </w:r>
    </w:p>
    <w:p>
      <w:pPr>
        <w:spacing w:after="140"/>
      </w:pPr>
      <w:r>
        <w:t xml:space="preserve">&gt; 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p>
      <w:pPr>
        <w:spacing w:after="140"/>
      </w:pPr>
      <w:r>
        <w:rPr>
          <w:b/>
        </w:rPr>
        <w:t xml:space="preserve">Replacement wording</w:t>
      </w:r>
    </w:p>
    <w:p>
      <w:pPr>
        <w:spacing w:after="140"/>
      </w:pPr>
      <w:r>
        <w:t xml:space="preserve">&gt; 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&gt;</w:t>
      </w:r>
    </w:p>
    <w:p>
      <w:pPr>
        <w:spacing w:after="140"/>
      </w:pPr>
      <w:r>
        <w:t xml:space="preserve">&gt; 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p>
      <w:pPr>
        <w:spacing w:after="140"/>
      </w:pPr>
      <w:r>
        <w:rPr>
          <w:b/>
        </w:rPr>
        <w:t xml:space="preserve">Reason.</w:t>
      </w:r>
      <w:r>
        <w:t xml:space="preserve"> the analytical denominator was recoverable only from the Acknowledgments. A reader should not have to leave the Results to learn which raters entered the coefficient. The existing record-accounting sentence is preserved verbatim beneath it.</w:t>
      </w:r>
    </w:p>
    <w:p>
      <w:pPr>
        <w:spacing w:after="140"/>
      </w:pPr>
      <w:r>
        <w:rPr>
          <w:b/>
        </w:rPr>
        <w:t xml:space="preserve">Source.</w:t>
      </w:r>
      <w:r>
        <w:t xml:space="preserve"> live </w:t>
      </w:r>
      <w:r>
        <w:rPr>
          <w:rFonts w:ascii="Consolas" w:hAnsi="Consolas"/>
        </w:rPr>
        <w:t xml:space="preserve">bench_labels</w:t>
      </w:r>
      <w:r>
        <w:t xml:space="preserve">, read 2026-08-18: 25 raters (8 </w:t>
      </w:r>
      <w:r>
        <w:rPr>
          <w:rFonts w:ascii="Consolas" w:hAnsi="Consolas"/>
        </w:rPr>
        <w:t xml:space="preserve">E-</w:t>
      </w:r>
      <w:r>
        <w:t xml:space="preserve">, 17 </w:t>
      </w:r>
      <w:r>
        <w:rPr>
          <w:rFonts w:ascii="Consolas" w:hAnsi="Consolas"/>
        </w:rPr>
        <w:t xml:space="preserve">R-</w:t>
      </w:r>
      <w:r>
        <w:t xml:space="preserve">), 22 under </w:t>
      </w:r>
      <w:r>
        <w:rPr>
          <w:rFonts w:ascii="Consolas" w:hAnsi="Consolas"/>
        </w:rPr>
        <w:t xml:space="preserve">mode = jrs</w:t>
      </w:r>
      <w:r>
        <w:t xml:space="preserve">, 3 </w:t>
      </w:r>
      <w:r>
        <w:rPr>
          <w:rFonts w:ascii="Consolas" w:hAnsi="Consolas"/>
        </w:rPr>
        <w:t xml:space="preserve">mode = normal</w:t>
      </w:r>
      <w:r>
        <w:t xml:space="preserve"> only, recorded in </w:t>
      </w:r>
      <w:r>
        <w:rPr>
          <w:rFonts w:ascii="Consolas" w:hAnsi="Consolas"/>
        </w:rPr>
        <w:t xml:space="preserve">research/current_reliability_2026-08-18.json</w:t>
      </w:r>
    </w:p>
    <w:p>
      <w:pPr>
        <w:pStyle w:val="Heading3"/>
        <w:spacing w:after="140"/>
      </w:pPr>
      <w:r>
        <w:t xml:space="preserve">Edit 6. Section 6.5, bootstrap sensitivity sentence. APPLIED.</w:t>
      </w:r>
    </w:p>
    <w:p>
      <w:pPr>
        <w:spacing w:after="140"/>
      </w:pPr>
      <w:r>
        <w:rPr>
          <w:b/>
        </w:rPr>
        <w:t xml:space="preserve">Category:</w:t>
      </w:r>
      <w:r>
        <w:t xml:space="preserve"> TERMINOLOGICAL</w:t>
      </w:r>
    </w:p>
    <w:p>
      <w:pPr>
        <w:spacing w:after="140"/>
      </w:pPr>
      <w:r>
        <w:rPr>
          <w:b/>
        </w:rPr>
        <w:t xml:space="preserve">Original wording</w:t>
      </w:r>
    </w:p>
    <w:p>
      <w:pPr>
        <w:spacing w:after="140"/>
      </w:pPr>
      <w:r>
        <w:t xml:space="preserve">&gt; it indicates that the failure is marginal for the expert panel and that the conclusion is sensitive to interval construction</w:t>
      </w:r>
    </w:p>
    <w:p>
      <w:pPr>
        <w:spacing w:after="140"/>
      </w:pPr>
      <w:r>
        <w:rPr>
          <w:b/>
        </w:rPr>
        <w:t xml:space="preserve">Replacement wording</w:t>
      </w:r>
    </w:p>
    <w:p>
      <w:pPr>
        <w:spacing w:after="140"/>
      </w:pPr>
      <w:r>
        <w:t xml:space="preserve">&gt; it indicates that the failure is marginal for the invited-expert group and that the conclusion is sensitive to interval construction</w:t>
      </w:r>
    </w:p>
    <w:p>
      <w:pPr>
        <w:spacing w:after="140"/>
      </w:pPr>
      <w:r>
        <w:rPr>
          <w:b/>
        </w:rPr>
        <w:t xml:space="preserve">Reason.</w:t>
      </w:r>
      <w:r>
        <w:t xml:space="preserve"> "the expert panel" is ambiguous between three populations: the sixteen detection-panel experts of Study 011, the twenty comparison-study experts of Study 012, and the eight invited expert raters of Study 004. The 0.427 bootstrap lower bound belongs to the last of those. The Final Global Search in the instruction requires the phrase to be disambiguated wherever it survives.</w:t>
      </w:r>
    </w:p>
    <w:p>
      <w:pPr>
        <w:spacing w:after="140"/>
      </w:pPr>
      <w:r>
        <w:rPr>
          <w:b/>
        </w:rPr>
        <w:t xml:space="preserve">Source.</w:t>
      </w:r>
      <w:r>
        <w:t xml:space="preserve"> the coefficient is the Study 004 expert row of the Section 6.5 table, 36 labels from 8 raters, confirmed against </w:t>
      </w:r>
      <w:r>
        <w:rPr>
          <w:rFonts w:ascii="Consolas" w:hAnsi="Consolas"/>
        </w:rPr>
        <w:t xml:space="preserve">research/current_reliability_2026-08-18.json</w:t>
      </w:r>
      <w:r>
        <w:t xml:space="preserve">; the replacement term is the one Section 4.7 and the Acknowledgments already use</w:t>
      </w:r>
    </w:p>
    <w:p>
      <w:pPr>
        <w:pStyle w:val="Heading3"/>
        <w:spacing w:after="140"/>
      </w:pPr>
      <w:r>
        <w:t xml:space="preserve">Edit 7. Section 1, Introduction. APPLIED.</w:t>
      </w:r>
    </w:p>
    <w:p>
      <w:pPr>
        <w:spacing w:after="140"/>
      </w:pPr>
      <w:r>
        <w:rPr>
          <w:b/>
        </w:rPr>
        <w:t xml:space="preserve">Category:</w:t>
      </w:r>
      <w:r>
        <w:t xml:space="preserve"> CLAIM-BOUNDARY</w:t>
      </w:r>
    </w:p>
    <w:p>
      <w:pPr>
        <w:spacing w:after="140"/>
      </w:pPr>
      <w:r>
        <w:rPr>
          <w:b/>
        </w:rPr>
        <w:t xml:space="preserve">Original wording</w:t>
      </w:r>
    </w:p>
    <w:p>
      <w:pPr>
        <w:spacing w:after="140"/>
      </w:pPr>
      <w:r>
        <w:t xml:space="preserve">&gt; If independent experts, reading a record cold, cannot tell one whose reasoning is present from one whose reasoning is absent, then documentation risk is not a governable property and no control built on human review can work.</w:t>
      </w:r>
    </w:p>
    <w:p>
      <w:pPr>
        <w:spacing w:after="140"/>
      </w:pPr>
      <w:r>
        <w:rPr>
          <w:b/>
        </w:rPr>
        <w:t xml:space="preserve">Replacement wording</w:t>
      </w:r>
    </w:p>
    <w:p>
      <w:pPr>
        <w:spacing w:after="140"/>
      </w:pPr>
      <w:r>
        <w:t xml:space="preserve">&gt; If independent experts cannot reliably distinguish records whose reasoning is present from those whose reasoning is absent under the stated reviewer standpoint, then a governance control that depends on human review of that property would lack an adequate empirical basis.</w:t>
      </w:r>
    </w:p>
    <w:p>
      <w:pPr>
        <w:spacing w:after="140"/>
      </w:pPr>
      <w:r>
        <w:rPr>
          <w:b/>
        </w:rPr>
        <w:t xml:space="preserve">Reason.</w:t>
      </w:r>
      <w:r>
        <w:t xml:space="preserve"> "is not a governable property" and "no control built on human review can work" are absolute claims about all controls and all conditions. The study tests one operationalisation under one reviewer standpoint on one constructed corpus.</w:t>
      </w:r>
    </w:p>
    <w:p>
      <w:pPr>
        <w:spacing w:after="140"/>
      </w:pPr>
      <w:r>
        <w:rPr>
          <w:b/>
        </w:rPr>
        <w:t xml:space="preserve">Source.</w:t>
      </w:r>
      <w:r>
        <w:t xml:space="preserve"> the manuscript's own scope statements at Section 8.4, 8.5 and 8.10, and </w:t>
      </w:r>
      <w:r>
        <w:rPr>
          <w:rFonts w:ascii="Consolas" w:hAnsi="Consolas"/>
        </w:rPr>
        <w:t xml:space="preserve">research/DRR_Detection_Validation_Protocol.md:96</w:t>
      </w:r>
      <w:r>
        <w:t xml:space="preserve">, which bounds the study to detectability</w:t>
      </w:r>
    </w:p>
    <w:p>
      <w:pPr>
        <w:pStyle w:val="Heading3"/>
        <w:spacing w:after="140"/>
      </w:pPr>
      <w:r>
        <w:t xml:space="preserve">Edit 8. Section 7, Discussion, The layer. APPLIED.</w:t>
      </w:r>
    </w:p>
    <w:p>
      <w:pPr>
        <w:spacing w:after="140"/>
      </w:pPr>
      <w:r>
        <w:rPr>
          <w:b/>
        </w:rPr>
        <w:t xml:space="preserve">Category:</w:t>
      </w:r>
      <w:r>
        <w:t xml:space="preserve"> CLAIM-BOUNDARY</w:t>
      </w:r>
    </w:p>
    <w:p>
      <w:pPr>
        <w:spacing w:after="140"/>
      </w:pPr>
      <w:r>
        <w:rPr>
          <w:b/>
        </w:rPr>
        <w:t xml:space="preserve">Original wording</w:t>
      </w:r>
    </w:p>
    <w:p>
      <w:pPr>
        <w:spacing w:after="140"/>
      </w:pPr>
      <w:r>
        <w:t xml:space="preserve">&gt; Whether this particular operationalisation is the right one is open; that the layer needs operationalising seems to us harder to dispute.</w:t>
      </w:r>
    </w:p>
    <w:p>
      <w:pPr>
        <w:spacing w:after="140"/>
      </w:pPr>
      <w:r>
        <w:rPr>
          <w:b/>
        </w:rPr>
        <w:t xml:space="preserve">Replacement wording</w:t>
      </w:r>
    </w:p>
    <w:p>
      <w:pPr>
        <w:spacing w:after="140"/>
      </w:pPr>
      <w:r>
        <w:t xml:space="preserve">&gt; Whether this particular operationalisation is the right one remains open; the study provides a basis for testing whether record-level reconstructability warrants a distinct measurement layer in AI governance.</w:t>
      </w:r>
    </w:p>
    <w:p>
      <w:pPr>
        <w:spacing w:after="140"/>
      </w:pPr>
      <w:r>
        <w:rPr>
          <w:b/>
        </w:rPr>
        <w:t xml:space="preserve">Reason.</w:t>
      </w:r>
      <w:r>
        <w:t xml:space="preserve"> "harder to dispute" asserts a field-level proposition the study did not test. The conceptual contribution survives as a basis for testing rather than as a settled point.</w:t>
      </w:r>
    </w:p>
    <w:p>
      <w:pPr>
        <w:spacing w:after="140"/>
      </w:pPr>
      <w:r>
        <w:rPr>
          <w:b/>
        </w:rPr>
        <w:t xml:space="preserve">Source.</w:t>
      </w:r>
      <w:r>
        <w:t xml:space="preserve"> no source in the repository tests the field-level claim; </w:t>
      </w:r>
      <w:r>
        <w:rPr>
          <w:rFonts w:ascii="Consolas" w:hAnsi="Consolas"/>
        </w:rPr>
        <w:t xml:space="preserve">DRR_Detection_Validation_Protocol.md:96</w:t>
      </w:r>
      <w:r>
        <w:t xml:space="preserve"> bounds the study to detectability</w:t>
      </w:r>
    </w:p>
    <w:p>
      <w:pPr>
        <w:pBdr>
          <w:bottom w:val="single" w:sz="6" w:space="1" w:color="AAAAAA"/>
        </w:pBdr>
      </w:pPr>
    </w:p>
    <w:p>
      <w:pPr>
        <w:pStyle w:val="Heading2"/>
        <w:spacing w:after="140"/>
      </w:pPr>
      <w:r>
        <w:t xml:space="preserve">2. Edit 4, the statistical gate</w:t>
      </w:r>
    </w:p>
    <w:p>
      <w:pPr>
        <w:spacing w:after="140"/>
      </w:pPr>
      <w:r>
        <w:t xml:space="preserve">Edit 4 instructs verification, not alteration, and instructs a stop on any discrepancy. Every reliability figure printed in the manuscript is compared against the recomputation performed against live </w:t>
      </w:r>
      <w:r>
        <w:rPr>
          <w:rFonts w:ascii="Consolas" w:hAnsi="Consolas"/>
        </w:rPr>
        <w:t xml:space="preserve">bench_labels</w:t>
      </w:r>
      <w:r>
        <w:t xml:space="preserve"> with </w:t>
      </w:r>
      <w:r>
        <w:rPr>
          <w:rFonts w:ascii="Consolas" w:hAnsi="Consolas"/>
        </w:rPr>
        <w:t xml:space="preserve">research/compute_ac1_ci.py</w:t>
      </w:r>
      <w:r>
        <w:t xml:space="preserve"> imported unmodified. The script writes nothing if any row below fails.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Check</w:t>
            </w:r>
          </w:p>
        </w:tc>
        <w:tc>
          <w:tcPr>
            <w:tcW w:w="2340" w:type="dxa"/>
          </w:tcPr>
          <w:p>
            <w:pPr>
              <w:spacing w:after="0"/>
            </w:pPr>
            <w:r>
              <w:t xml:space="preserve">Printed in the manuscript</w:t>
            </w:r>
          </w:p>
        </w:tc>
        <w:tc>
          <w:tcPr>
            <w:tcW w:w="2340" w:type="dxa"/>
          </w:tcPr>
          <w:p>
            <w:pPr>
              <w:spacing w:after="0"/>
            </w:pPr>
            <w:r>
              <w:t xml:space="preserve">Recomputed from the current dataset</w:t>
            </w:r>
          </w:p>
        </w:tc>
        <w:tc>
          <w:tcPr>
            <w:tcW w:w="2340" w:type="dxa"/>
          </w:tcPr>
          <w:p>
            <w:pPr>
              <w:spacing w:after="0"/>
            </w:pPr>
            <w:r>
              <w:t xml:space="preserve">Match</w:t>
            </w:r>
          </w:p>
        </w:tc>
      </w:tr>
      <w:tr>
        <w:tc>
          <w:tcPr>
            <w:tcW w:w="2340" w:type="dxa"/>
          </w:tcPr>
          <w:p>
            <w:pPr>
              <w:spacing w:after="0"/>
            </w:pPr>
            <w:r>
              <w:t xml:space="preserve">gate1_live_matches_committed_run</w:t>
            </w:r>
          </w:p>
        </w:tc>
        <w:tc>
          <w:tcPr>
            <w:tcW w:w="2340" w:type="dxa"/>
          </w:tcPr>
          <w:p>
            <w:pPr>
              <w:spacing w:after="0"/>
            </w:pPr>
            <w:r>
              <w:rPr>
                <w:rFonts w:ascii="Consolas" w:hAnsi="Consolas"/>
              </w:rPr>
              <w:t xml:space="preserve">True</w:t>
            </w:r>
          </w:p>
        </w:tc>
        <w:tc>
          <w:tcPr>
            <w:tcW w:w="2340" w:type="dxa"/>
          </w:tcPr>
          <w:p>
            <w:pPr>
              <w:spacing w:after="0"/>
            </w:pPr>
            <w:r>
              <w:rPr>
                <w:rFonts w:ascii="Consolas" w:hAnsi="Consolas"/>
              </w:rPr>
              <w:t xml:space="preserve">True</w:t>
            </w:r>
          </w:p>
        </w:tc>
        <w:tc>
          <w:tcPr>
            <w:tcW w:w="2340" w:type="dxa"/>
          </w:tcPr>
          <w:p>
            <w:pPr>
              <w:spacing w:after="0"/>
            </w:pPr>
            <w:r>
              <w:t xml:space="preserve">ok</w:t>
            </w:r>
          </w:p>
        </w:tc>
      </w:tr>
      <w:tr>
        <w:tc>
          <w:tcPr>
            <w:tcW w:w="2340" w:type="dxa"/>
          </w:tcPr>
          <w:p>
            <w:pPr>
              <w:spacing w:after="0"/>
            </w:pPr>
            <w:r>
              <w:t xml:space="preserve">gate2_point_estimates_reproduce</w:t>
            </w:r>
          </w:p>
        </w:tc>
        <w:tc>
          <w:tcPr>
            <w:tcW w:w="2340" w:type="dxa"/>
          </w:tcPr>
          <w:p>
            <w:pPr>
              <w:spacing w:after="0"/>
            </w:pPr>
            <w:r>
              <w:rPr>
                <w:rFonts w:ascii="Consolas" w:hAnsi="Consolas"/>
              </w:rPr>
              <w:t xml:space="preserve">True</w:t>
            </w:r>
          </w:p>
        </w:tc>
        <w:tc>
          <w:tcPr>
            <w:tcW w:w="2340" w:type="dxa"/>
          </w:tcPr>
          <w:p>
            <w:pPr>
              <w:spacing w:after="0"/>
            </w:pPr>
            <w:r>
              <w:rPr>
                <w:rFonts w:ascii="Consolas" w:hAnsi="Consolas"/>
              </w:rPr>
              <w:t xml:space="preserve">True</w:t>
            </w:r>
          </w:p>
        </w:tc>
        <w:tc>
          <w:tcPr>
            <w:tcW w:w="2340" w:type="dxa"/>
          </w:tcPr>
          <w:p>
            <w:pPr>
              <w:spacing w:after="0"/>
            </w:pPr>
            <w:r>
              <w:t xml:space="preserve">ok</w:t>
            </w:r>
          </w:p>
        </w:tc>
      </w:tr>
      <w:tr>
        <w:tc>
          <w:tcPr>
            <w:tcW w:w="2340" w:type="dxa"/>
          </w:tcPr>
          <w:p>
            <w:pPr>
              <w:spacing w:after="0"/>
            </w:pPr>
            <w:r>
              <w:t xml:space="preserve">expert 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expert labels</w:t>
            </w:r>
          </w:p>
        </w:tc>
        <w:tc>
          <w:tcPr>
            <w:tcW w:w="2340" w:type="dxa"/>
          </w:tcPr>
          <w:p>
            <w:pPr>
              <w:spacing w:after="0"/>
            </w:pPr>
            <w:r>
              <w:rPr>
                <w:rFonts w:ascii="Consolas" w:hAnsi="Consolas"/>
              </w:rPr>
              <w:t xml:space="preserve">36</w:t>
            </w:r>
          </w:p>
        </w:tc>
        <w:tc>
          <w:tcPr>
            <w:tcW w:w="2340" w:type="dxa"/>
          </w:tcPr>
          <w:p>
            <w:pPr>
              <w:spacing w:after="0"/>
            </w:pPr>
            <w:r>
              <w:rPr>
                <w:rFonts w:ascii="Consolas" w:hAnsi="Consolas"/>
              </w:rPr>
              <w:t xml:space="preserve">36</w:t>
            </w:r>
          </w:p>
        </w:tc>
        <w:tc>
          <w:tcPr>
            <w:tcW w:w="2340" w:type="dxa"/>
          </w:tcPr>
          <w:p>
            <w:pPr>
              <w:spacing w:after="0"/>
            </w:pPr>
            <w:r>
              <w:t xml:space="preserve">ok</w:t>
            </w:r>
          </w:p>
        </w:tc>
      </w:tr>
      <w:tr>
        <w:tc>
          <w:tcPr>
            <w:tcW w:w="2340" w:type="dxa"/>
          </w:tcPr>
          <w:p>
            <w:pPr>
              <w:spacing w:after="0"/>
            </w:pPr>
            <w:r>
              <w:t xml:space="preserve">expert raters</w:t>
            </w:r>
          </w:p>
        </w:tc>
        <w:tc>
          <w:tcPr>
            <w:tcW w:w="2340" w:type="dxa"/>
          </w:tcPr>
          <w:p>
            <w:pPr>
              <w:spacing w:after="0"/>
            </w:pPr>
            <w:r>
              <w:rPr>
                <w:rFonts w:ascii="Consolas" w:hAnsi="Consolas"/>
              </w:rPr>
              <w:t xml:space="preserve">8</w:t>
            </w:r>
          </w:p>
        </w:tc>
        <w:tc>
          <w:tcPr>
            <w:tcW w:w="2340" w:type="dxa"/>
          </w:tcPr>
          <w:p>
            <w:pPr>
              <w:spacing w:after="0"/>
            </w:pPr>
            <w:r>
              <w:rPr>
                <w:rFonts w:ascii="Consolas" w:hAnsi="Consolas"/>
              </w:rPr>
              <w:t xml:space="preserve">8</w:t>
            </w:r>
          </w:p>
        </w:tc>
        <w:tc>
          <w:tcPr>
            <w:tcW w:w="2340" w:type="dxa"/>
          </w:tcPr>
          <w:p>
            <w:pPr>
              <w:spacing w:after="0"/>
            </w:pPr>
            <w:r>
              <w:t xml:space="preserve">ok</w:t>
            </w:r>
          </w:p>
        </w:tc>
      </w:tr>
      <w:tr>
        <w:tc>
          <w:tcPr>
            <w:tcW w:w="2340" w:type="dxa"/>
          </w:tcPr>
          <w:p>
            <w:pPr>
              <w:spacing w:after="0"/>
            </w:pPr>
            <w:r>
              <w:t xml:space="preserve">expert AC1</w:t>
            </w:r>
          </w:p>
        </w:tc>
        <w:tc>
          <w:tcPr>
            <w:tcW w:w="2340" w:type="dxa"/>
          </w:tcPr>
          <w:p>
            <w:pPr>
              <w:spacing w:after="0"/>
            </w:pPr>
            <w:r>
              <w:rPr>
                <w:rFonts w:ascii="Consolas" w:hAnsi="Consolas"/>
              </w:rPr>
              <w:t xml:space="preserve">0.739</w:t>
            </w:r>
          </w:p>
        </w:tc>
        <w:tc>
          <w:tcPr>
            <w:tcW w:w="2340" w:type="dxa"/>
          </w:tcPr>
          <w:p>
            <w:pPr>
              <w:spacing w:after="0"/>
            </w:pPr>
            <w:r>
              <w:rPr>
                <w:rFonts w:ascii="Consolas" w:hAnsi="Consolas"/>
              </w:rPr>
              <w:t xml:space="preserve">0.739</w:t>
            </w:r>
          </w:p>
        </w:tc>
        <w:tc>
          <w:tcPr>
            <w:tcW w:w="2340" w:type="dxa"/>
          </w:tcPr>
          <w:p>
            <w:pPr>
              <w:spacing w:after="0"/>
            </w:pPr>
            <w:r>
              <w:t xml:space="preserve">ok</w:t>
            </w:r>
          </w:p>
        </w:tc>
      </w:tr>
      <w:tr>
        <w:tc>
          <w:tcPr>
            <w:tcW w:w="2340" w:type="dxa"/>
          </w:tcPr>
          <w:p>
            <w:pPr>
              <w:spacing w:after="0"/>
            </w:pPr>
            <w:r>
              <w:t xml:space="preserve">expert analytic low</w:t>
            </w:r>
          </w:p>
        </w:tc>
        <w:tc>
          <w:tcPr>
            <w:tcW w:w="2340" w:type="dxa"/>
          </w:tcPr>
          <w:p>
            <w:pPr>
              <w:spacing w:after="0"/>
            </w:pPr>
            <w:r>
              <w:rPr>
                <w:rFonts w:ascii="Consolas" w:hAnsi="Consolas"/>
              </w:rPr>
              <w:t xml:space="preserve">0.402</w:t>
            </w:r>
          </w:p>
        </w:tc>
        <w:tc>
          <w:tcPr>
            <w:tcW w:w="2340" w:type="dxa"/>
          </w:tcPr>
          <w:p>
            <w:pPr>
              <w:spacing w:after="0"/>
            </w:pPr>
            <w:r>
              <w:rPr>
                <w:rFonts w:ascii="Consolas" w:hAnsi="Consolas"/>
              </w:rPr>
              <w:t xml:space="preserve">0.402</w:t>
            </w:r>
          </w:p>
        </w:tc>
        <w:tc>
          <w:tcPr>
            <w:tcW w:w="2340" w:type="dxa"/>
          </w:tcPr>
          <w:p>
            <w:pPr>
              <w:spacing w:after="0"/>
            </w:pPr>
            <w:r>
              <w:t xml:space="preserve">ok</w:t>
            </w:r>
          </w:p>
        </w:tc>
      </w:tr>
      <w:tr>
        <w:tc>
          <w:tcPr>
            <w:tcW w:w="2340" w:type="dxa"/>
          </w:tcPr>
          <w:p>
            <w:pPr>
              <w:spacing w:after="0"/>
            </w:pPr>
            <w:r>
              <w:t xml:space="preserve">expert analytic high</w:t>
            </w:r>
          </w:p>
        </w:tc>
        <w:tc>
          <w:tcPr>
            <w:tcW w:w="2340" w:type="dxa"/>
          </w:tcPr>
          <w:p>
            <w:pPr>
              <w:spacing w:after="0"/>
            </w:pPr>
            <w:r>
              <w:rPr>
                <w:rFonts w:ascii="Consolas" w:hAnsi="Consolas"/>
              </w:rPr>
              <w:t xml:space="preserve">1.000</w:t>
            </w:r>
          </w:p>
        </w:tc>
        <w:tc>
          <w:tcPr>
            <w:tcW w:w="2340" w:type="dxa"/>
          </w:tcPr>
          <w:p>
            <w:pPr>
              <w:spacing w:after="0"/>
            </w:pPr>
            <w:r>
              <w:rPr>
                <w:rFonts w:ascii="Consolas" w:hAnsi="Consolas"/>
              </w:rPr>
              <w:t xml:space="preserve">1.000</w:t>
            </w:r>
          </w:p>
        </w:tc>
        <w:tc>
          <w:tcPr>
            <w:tcW w:w="2340" w:type="dxa"/>
          </w:tcPr>
          <w:p>
            <w:pPr>
              <w:spacing w:after="0"/>
            </w:pPr>
            <w:r>
              <w:t xml:space="preserve">ok</w:t>
            </w:r>
          </w:p>
        </w:tc>
      </w:tr>
      <w:tr>
        <w:tc>
          <w:tcPr>
            <w:tcW w:w="2340" w:type="dxa"/>
          </w:tcPr>
          <w:p>
            <w:pPr>
              <w:spacing w:after="0"/>
            </w:pPr>
            <w:r>
              <w:t xml:space="preserve">expert bootstrap low</w:t>
            </w:r>
          </w:p>
        </w:tc>
        <w:tc>
          <w:tcPr>
            <w:tcW w:w="2340" w:type="dxa"/>
          </w:tcPr>
          <w:p>
            <w:pPr>
              <w:spacing w:after="0"/>
            </w:pPr>
            <w:r>
              <w:rPr>
                <w:rFonts w:ascii="Consolas" w:hAnsi="Consolas"/>
              </w:rPr>
              <w:t xml:space="preserve">0.427</w:t>
            </w:r>
          </w:p>
        </w:tc>
        <w:tc>
          <w:tcPr>
            <w:tcW w:w="2340" w:type="dxa"/>
          </w:tcPr>
          <w:p>
            <w:pPr>
              <w:spacing w:after="0"/>
            </w:pPr>
            <w:r>
              <w:rPr>
                <w:rFonts w:ascii="Consolas" w:hAnsi="Consolas"/>
              </w:rPr>
              <w:t xml:space="preserve">0.427</w:t>
            </w:r>
          </w:p>
        </w:tc>
        <w:tc>
          <w:tcPr>
            <w:tcW w:w="2340" w:type="dxa"/>
          </w:tcPr>
          <w:p>
            <w:pPr>
              <w:spacing w:after="0"/>
            </w:pPr>
            <w:r>
              <w:t xml:space="preserve">ok</w:t>
            </w:r>
          </w:p>
        </w:tc>
      </w:tr>
      <w:tr>
        <w:tc>
          <w:tcPr>
            <w:tcW w:w="2340" w:type="dxa"/>
          </w:tcPr>
          <w:p>
            <w:pPr>
              <w:spacing w:after="0"/>
            </w:pPr>
            <w:r>
              <w:t xml:space="preserve">expert bootstrap high</w:t>
            </w:r>
          </w:p>
        </w:tc>
        <w:tc>
          <w:tcPr>
            <w:tcW w:w="2340" w:type="dxa"/>
          </w:tcPr>
          <w:p>
            <w:pPr>
              <w:spacing w:after="0"/>
            </w:pPr>
            <w:r>
              <w:rPr>
                <w:rFonts w:ascii="Consolas" w:hAnsi="Consolas"/>
              </w:rPr>
              <w:t xml:space="preserve">1.000</w:t>
            </w:r>
          </w:p>
        </w:tc>
        <w:tc>
          <w:tcPr>
            <w:tcW w:w="2340" w:type="dxa"/>
          </w:tcPr>
          <w:p>
            <w:pPr>
              <w:spacing w:after="0"/>
            </w:pPr>
            <w:r>
              <w:rPr>
                <w:rFonts w:ascii="Consolas" w:hAnsi="Consolas"/>
              </w:rPr>
              <w:t xml:space="preserve">1.000</w:t>
            </w:r>
          </w:p>
        </w:tc>
        <w:tc>
          <w:tcPr>
            <w:tcW w:w="2340" w:type="dxa"/>
          </w:tcPr>
          <w:p>
            <w:pPr>
              <w:spacing w:after="0"/>
            </w:pPr>
            <w:r>
              <w:t xml:space="preserve">ok</w:t>
            </w:r>
          </w:p>
        </w:tc>
      </w:tr>
      <w:tr>
        <w:tc>
          <w:tcPr>
            <w:tcW w:w="2340" w:type="dxa"/>
          </w:tcPr>
          <w:p>
            <w:pPr>
              <w:spacing w:after="0"/>
            </w:pPr>
            <w:r>
              <w:t xml:space="preserve">regular 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regular labels</w:t>
            </w:r>
          </w:p>
        </w:tc>
        <w:tc>
          <w:tcPr>
            <w:tcW w:w="2340" w:type="dxa"/>
          </w:tcPr>
          <w:p>
            <w:pPr>
              <w:spacing w:after="0"/>
            </w:pPr>
            <w:r>
              <w:rPr>
                <w:rFonts w:ascii="Consolas" w:hAnsi="Consolas"/>
              </w:rPr>
              <w:t xml:space="preserve">68</w:t>
            </w:r>
          </w:p>
        </w:tc>
        <w:tc>
          <w:tcPr>
            <w:tcW w:w="2340" w:type="dxa"/>
          </w:tcPr>
          <w:p>
            <w:pPr>
              <w:spacing w:after="0"/>
            </w:pPr>
            <w:r>
              <w:rPr>
                <w:rFonts w:ascii="Consolas" w:hAnsi="Consolas"/>
              </w:rPr>
              <w:t xml:space="preserve">68</w:t>
            </w:r>
          </w:p>
        </w:tc>
        <w:tc>
          <w:tcPr>
            <w:tcW w:w="2340" w:type="dxa"/>
          </w:tcPr>
          <w:p>
            <w:pPr>
              <w:spacing w:after="0"/>
            </w:pPr>
            <w:r>
              <w:t xml:space="preserve">ok</w:t>
            </w:r>
          </w:p>
        </w:tc>
      </w:tr>
      <w:tr>
        <w:tc>
          <w:tcPr>
            <w:tcW w:w="2340" w:type="dxa"/>
          </w:tcPr>
          <w:p>
            <w:pPr>
              <w:spacing w:after="0"/>
            </w:pPr>
            <w:r>
              <w:t xml:space="preserve">regular raters</w:t>
            </w:r>
          </w:p>
        </w:tc>
        <w:tc>
          <w:tcPr>
            <w:tcW w:w="2340" w:type="dxa"/>
          </w:tcPr>
          <w:p>
            <w:pPr>
              <w:spacing w:after="0"/>
            </w:pPr>
            <w:r>
              <w:rPr>
                <w:rFonts w:ascii="Consolas" w:hAnsi="Consolas"/>
              </w:rPr>
              <w:t xml:space="preserve">14</w:t>
            </w:r>
          </w:p>
        </w:tc>
        <w:tc>
          <w:tcPr>
            <w:tcW w:w="2340" w:type="dxa"/>
          </w:tcPr>
          <w:p>
            <w:pPr>
              <w:spacing w:after="0"/>
            </w:pPr>
            <w:r>
              <w:rPr>
                <w:rFonts w:ascii="Consolas" w:hAnsi="Consolas"/>
              </w:rPr>
              <w:t xml:space="preserve">14</w:t>
            </w:r>
          </w:p>
        </w:tc>
        <w:tc>
          <w:tcPr>
            <w:tcW w:w="2340" w:type="dxa"/>
          </w:tcPr>
          <w:p>
            <w:pPr>
              <w:spacing w:after="0"/>
            </w:pPr>
            <w:r>
              <w:t xml:space="preserve">ok</w:t>
            </w:r>
          </w:p>
        </w:tc>
      </w:tr>
      <w:tr>
        <w:tc>
          <w:tcPr>
            <w:tcW w:w="2340" w:type="dxa"/>
          </w:tcPr>
          <w:p>
            <w:pPr>
              <w:spacing w:after="0"/>
            </w:pPr>
            <w:r>
              <w:t xml:space="preserve">regular AC1</w:t>
            </w:r>
          </w:p>
        </w:tc>
        <w:tc>
          <w:tcPr>
            <w:tcW w:w="2340" w:type="dxa"/>
          </w:tcPr>
          <w:p>
            <w:pPr>
              <w:spacing w:after="0"/>
            </w:pPr>
            <w:r>
              <w:rPr>
                <w:rFonts w:ascii="Consolas" w:hAnsi="Consolas"/>
              </w:rPr>
              <w:t xml:space="preserve">0.623</w:t>
            </w:r>
          </w:p>
        </w:tc>
        <w:tc>
          <w:tcPr>
            <w:tcW w:w="2340" w:type="dxa"/>
          </w:tcPr>
          <w:p>
            <w:pPr>
              <w:spacing w:after="0"/>
            </w:pPr>
            <w:r>
              <w:rPr>
                <w:rFonts w:ascii="Consolas" w:hAnsi="Consolas"/>
              </w:rPr>
              <w:t xml:space="preserve">0.623</w:t>
            </w:r>
          </w:p>
        </w:tc>
        <w:tc>
          <w:tcPr>
            <w:tcW w:w="2340" w:type="dxa"/>
          </w:tcPr>
          <w:p>
            <w:pPr>
              <w:spacing w:after="0"/>
            </w:pPr>
            <w:r>
              <w:t xml:space="preserve">ok</w:t>
            </w:r>
          </w:p>
        </w:tc>
      </w:tr>
      <w:tr>
        <w:tc>
          <w:tcPr>
            <w:tcW w:w="2340" w:type="dxa"/>
          </w:tcPr>
          <w:p>
            <w:pPr>
              <w:spacing w:after="0"/>
            </w:pPr>
            <w:r>
              <w:t xml:space="preserve">regular analytic low</w:t>
            </w:r>
          </w:p>
        </w:tc>
        <w:tc>
          <w:tcPr>
            <w:tcW w:w="2340" w:type="dxa"/>
          </w:tcPr>
          <w:p>
            <w:pPr>
              <w:spacing w:after="0"/>
            </w:pPr>
            <w:r>
              <w:rPr>
                <w:rFonts w:ascii="Consolas" w:hAnsi="Consolas"/>
              </w:rPr>
              <w:t xml:space="preserve">0.252</w:t>
            </w:r>
          </w:p>
        </w:tc>
        <w:tc>
          <w:tcPr>
            <w:tcW w:w="2340" w:type="dxa"/>
          </w:tcPr>
          <w:p>
            <w:pPr>
              <w:spacing w:after="0"/>
            </w:pPr>
            <w:r>
              <w:rPr>
                <w:rFonts w:ascii="Consolas" w:hAnsi="Consolas"/>
              </w:rPr>
              <w:t xml:space="preserve">0.252</w:t>
            </w:r>
          </w:p>
        </w:tc>
        <w:tc>
          <w:tcPr>
            <w:tcW w:w="2340" w:type="dxa"/>
          </w:tcPr>
          <w:p>
            <w:pPr>
              <w:spacing w:after="0"/>
            </w:pPr>
            <w:r>
              <w:t xml:space="preserve">ok</w:t>
            </w:r>
          </w:p>
        </w:tc>
      </w:tr>
      <w:tr>
        <w:tc>
          <w:tcPr>
            <w:tcW w:w="2340" w:type="dxa"/>
          </w:tcPr>
          <w:p>
            <w:pPr>
              <w:spacing w:after="0"/>
            </w:pPr>
            <w:r>
              <w:t xml:space="preserve">regular analytic high</w:t>
            </w:r>
          </w:p>
        </w:tc>
        <w:tc>
          <w:tcPr>
            <w:tcW w:w="2340" w:type="dxa"/>
          </w:tcPr>
          <w:p>
            <w:pPr>
              <w:spacing w:after="0"/>
            </w:pPr>
            <w:r>
              <w:rPr>
                <w:rFonts w:ascii="Consolas" w:hAnsi="Consolas"/>
              </w:rPr>
              <w:t xml:space="preserve">0.993</w:t>
            </w:r>
          </w:p>
        </w:tc>
        <w:tc>
          <w:tcPr>
            <w:tcW w:w="2340" w:type="dxa"/>
          </w:tcPr>
          <w:p>
            <w:pPr>
              <w:spacing w:after="0"/>
            </w:pPr>
            <w:r>
              <w:rPr>
                <w:rFonts w:ascii="Consolas" w:hAnsi="Consolas"/>
              </w:rPr>
              <w:t xml:space="preserve">0.993</w:t>
            </w:r>
          </w:p>
        </w:tc>
        <w:tc>
          <w:tcPr>
            <w:tcW w:w="2340" w:type="dxa"/>
          </w:tcPr>
          <w:p>
            <w:pPr>
              <w:spacing w:after="0"/>
            </w:pPr>
            <w:r>
              <w:t xml:space="preserve">ok</w:t>
            </w:r>
          </w:p>
        </w:tc>
      </w:tr>
      <w:tr>
        <w:tc>
          <w:tcPr>
            <w:tcW w:w="2340" w:type="dxa"/>
          </w:tcPr>
          <w:p>
            <w:pPr>
              <w:spacing w:after="0"/>
            </w:pPr>
            <w:r>
              <w:t xml:space="preserve">regular bootstrap low</w:t>
            </w:r>
          </w:p>
        </w:tc>
        <w:tc>
          <w:tcPr>
            <w:tcW w:w="2340" w:type="dxa"/>
          </w:tcPr>
          <w:p>
            <w:pPr>
              <w:spacing w:after="0"/>
            </w:pPr>
            <w:r>
              <w:rPr>
                <w:rFonts w:ascii="Consolas" w:hAnsi="Consolas"/>
              </w:rPr>
              <w:t xml:space="preserve">0.285</w:t>
            </w:r>
          </w:p>
        </w:tc>
        <w:tc>
          <w:tcPr>
            <w:tcW w:w="2340" w:type="dxa"/>
          </w:tcPr>
          <w:p>
            <w:pPr>
              <w:spacing w:after="0"/>
            </w:pPr>
            <w:r>
              <w:rPr>
                <w:rFonts w:ascii="Consolas" w:hAnsi="Consolas"/>
              </w:rPr>
              <w:t xml:space="preserve">0.285</w:t>
            </w:r>
          </w:p>
        </w:tc>
        <w:tc>
          <w:tcPr>
            <w:tcW w:w="2340" w:type="dxa"/>
          </w:tcPr>
          <w:p>
            <w:pPr>
              <w:spacing w:after="0"/>
            </w:pPr>
            <w:r>
              <w:t xml:space="preserve">ok</w:t>
            </w:r>
          </w:p>
        </w:tc>
      </w:tr>
      <w:tr>
        <w:tc>
          <w:tcPr>
            <w:tcW w:w="2340" w:type="dxa"/>
          </w:tcPr>
          <w:p>
            <w:pPr>
              <w:spacing w:after="0"/>
            </w:pPr>
            <w:r>
              <w:t xml:space="preserve">regular bootstrap high</w:t>
            </w:r>
          </w:p>
        </w:tc>
        <w:tc>
          <w:tcPr>
            <w:tcW w:w="2340" w:type="dxa"/>
          </w:tcPr>
          <w:p>
            <w:pPr>
              <w:spacing w:after="0"/>
            </w:pPr>
            <w:r>
              <w:rPr>
                <w:rFonts w:ascii="Consolas" w:hAnsi="Consolas"/>
              </w:rPr>
              <w:t xml:space="preserve">0.894</w:t>
            </w:r>
          </w:p>
        </w:tc>
        <w:tc>
          <w:tcPr>
            <w:tcW w:w="2340" w:type="dxa"/>
          </w:tcPr>
          <w:p>
            <w:pPr>
              <w:spacing w:after="0"/>
            </w:pPr>
            <w:r>
              <w:rPr>
                <w:rFonts w:ascii="Consolas" w:hAnsi="Consolas"/>
              </w:rPr>
              <w:t xml:space="preserve">0.894</w:t>
            </w:r>
          </w:p>
        </w:tc>
        <w:tc>
          <w:tcPr>
            <w:tcW w:w="2340" w:type="dxa"/>
          </w:tcPr>
          <w:p>
            <w:pPr>
              <w:spacing w:after="0"/>
            </w:pPr>
            <w:r>
              <w:t xml:space="preserve">ok</w:t>
            </w:r>
          </w:p>
        </w:tc>
      </w:tr>
      <w:tr>
        <w:tc>
          <w:tcPr>
            <w:tcW w:w="2340" w:type="dxa"/>
          </w:tcPr>
          <w:p>
            <w:pPr>
              <w:spacing w:after="0"/>
            </w:pPr>
            <w:r>
              <w:t xml:space="preserve">prose expert lower bound</w:t>
            </w:r>
          </w:p>
        </w:tc>
        <w:tc>
          <w:tcPr>
            <w:tcW w:w="2340" w:type="dxa"/>
          </w:tcPr>
          <w:p>
            <w:pPr>
              <w:spacing w:after="0"/>
            </w:pPr>
            <w:r>
              <w:rPr>
                <w:rFonts w:ascii="Consolas" w:hAnsi="Consolas"/>
              </w:rPr>
              <w:t xml:space="preserve">0.402</w:t>
            </w:r>
          </w:p>
        </w:tc>
        <w:tc>
          <w:tcPr>
            <w:tcW w:w="2340" w:type="dxa"/>
          </w:tcPr>
          <w:p>
            <w:pPr>
              <w:spacing w:after="0"/>
            </w:pPr>
            <w:r>
              <w:rPr>
                <w:rFonts w:ascii="Consolas" w:hAnsi="Consolas"/>
              </w:rPr>
              <w:t xml:space="preserve">0.402</w:t>
            </w:r>
          </w:p>
        </w:tc>
        <w:tc>
          <w:tcPr>
            <w:tcW w:w="2340" w:type="dxa"/>
          </w:tcPr>
          <w:p>
            <w:pPr>
              <w:spacing w:after="0"/>
            </w:pPr>
            <w:r>
              <w:t xml:space="preserve">ok</w:t>
            </w:r>
          </w:p>
        </w:tc>
      </w:tr>
      <w:tr>
        <w:tc>
          <w:tcPr>
            <w:tcW w:w="2340" w:type="dxa"/>
          </w:tcPr>
          <w:p>
            <w:pPr>
              <w:spacing w:after="0"/>
            </w:pPr>
            <w:r>
              <w:t xml:space="preserve">prose regular lower bound</w:t>
            </w:r>
          </w:p>
        </w:tc>
        <w:tc>
          <w:tcPr>
            <w:tcW w:w="2340" w:type="dxa"/>
          </w:tcPr>
          <w:p>
            <w:pPr>
              <w:spacing w:after="0"/>
            </w:pPr>
            <w:r>
              <w:rPr>
                <w:rFonts w:ascii="Consolas" w:hAnsi="Consolas"/>
              </w:rPr>
              <w:t xml:space="preserve">0.252</w:t>
            </w:r>
          </w:p>
        </w:tc>
        <w:tc>
          <w:tcPr>
            <w:tcW w:w="2340" w:type="dxa"/>
          </w:tcPr>
          <w:p>
            <w:pPr>
              <w:spacing w:after="0"/>
            </w:pPr>
            <w:r>
              <w:rPr>
                <w:rFonts w:ascii="Consolas" w:hAnsi="Consolas"/>
              </w:rPr>
              <w:t xml:space="preserve">0.252</w:t>
            </w:r>
          </w:p>
        </w:tc>
        <w:tc>
          <w:tcPr>
            <w:tcW w:w="2340" w:type="dxa"/>
          </w:tcPr>
          <w:p>
            <w:pPr>
              <w:spacing w:after="0"/>
            </w:pPr>
            <w:r>
              <w:t xml:space="preserve">ok</w:t>
            </w:r>
          </w:p>
        </w:tc>
      </w:tr>
      <w:tr>
        <w:tc>
          <w:tcPr>
            <w:tcW w:w="2340" w:type="dxa"/>
          </w:tcPr>
          <w:p>
            <w:pPr>
              <w:spacing w:after="0"/>
            </w:pPr>
            <w:r>
              <w:t xml:space="preserve">reliability raters, all instruments</w:t>
            </w:r>
          </w:p>
        </w:tc>
        <w:tc>
          <w:tcPr>
            <w:tcW w:w="2340" w:type="dxa"/>
          </w:tcPr>
          <w:p>
            <w:pPr>
              <w:spacing w:after="0"/>
            </w:pPr>
            <w:r>
              <w:rPr>
                <w:rFonts w:ascii="Consolas" w:hAnsi="Consolas"/>
              </w:rPr>
              <w:t xml:space="preserve">25</w:t>
            </w:r>
          </w:p>
        </w:tc>
        <w:tc>
          <w:tcPr>
            <w:tcW w:w="2340" w:type="dxa"/>
          </w:tcPr>
          <w:p>
            <w:pPr>
              <w:spacing w:after="0"/>
            </w:pPr>
            <w:r>
              <w:rPr>
                <w:rFonts w:ascii="Consolas" w:hAnsi="Consolas"/>
              </w:rPr>
              <w:t xml:space="preserve">25</w:t>
            </w:r>
          </w:p>
        </w:tc>
        <w:tc>
          <w:tcPr>
            <w:tcW w:w="2340" w:type="dxa"/>
          </w:tcPr>
          <w:p>
            <w:pPr>
              <w:spacing w:after="0"/>
            </w:pPr>
            <w:r>
              <w:t xml:space="preserve">ok</w:t>
            </w:r>
          </w:p>
        </w:tc>
      </w:tr>
      <w:tr>
        <w:tc>
          <w:tcPr>
            <w:tcW w:w="2340" w:type="dxa"/>
          </w:tcPr>
          <w:p>
            <w:pPr>
              <w:spacing w:after="0"/>
            </w:pPr>
            <w:r>
              <w:t xml:space="preserve">reliability raters, five-condition set</w:t>
            </w:r>
          </w:p>
        </w:tc>
        <w:tc>
          <w:tcPr>
            <w:tcW w:w="2340" w:type="dxa"/>
          </w:tcPr>
          <w:p>
            <w:pPr>
              <w:spacing w:after="0"/>
            </w:pPr>
            <w:r>
              <w:rPr>
                <w:rFonts w:ascii="Consolas" w:hAnsi="Consolas"/>
              </w:rPr>
              <w:t xml:space="preserve">22</w:t>
            </w:r>
          </w:p>
        </w:tc>
        <w:tc>
          <w:tcPr>
            <w:tcW w:w="2340" w:type="dxa"/>
          </w:tcPr>
          <w:p>
            <w:pPr>
              <w:spacing w:after="0"/>
            </w:pPr>
            <w:r>
              <w:rPr>
                <w:rFonts w:ascii="Consolas" w:hAnsi="Consolas"/>
              </w:rPr>
              <w:t xml:space="preserve">22</w:t>
            </w:r>
          </w:p>
        </w:tc>
        <w:tc>
          <w:tcPr>
            <w:tcW w:w="2340" w:type="dxa"/>
          </w:tcPr>
          <w:p>
            <w:pPr>
              <w:spacing w:after="0"/>
            </w:pPr>
            <w:r>
              <w:t xml:space="preserve">ok</w:t>
            </w:r>
          </w:p>
        </w:tc>
      </w:tr>
      <w:tr>
        <w:tc>
          <w:tcPr>
            <w:tcW w:w="2340" w:type="dxa"/>
          </w:tcPr>
          <w:p>
            <w:pPr>
              <w:spacing w:after="0"/>
            </w:pPr>
            <w:r>
              <w:t xml:space="preserve">invited experts</w:t>
            </w:r>
          </w:p>
        </w:tc>
        <w:tc>
          <w:tcPr>
            <w:tcW w:w="2340" w:type="dxa"/>
          </w:tcPr>
          <w:p>
            <w:pPr>
              <w:spacing w:after="0"/>
            </w:pPr>
            <w:r>
              <w:rPr>
                <w:rFonts w:ascii="Consolas" w:hAnsi="Consolas"/>
              </w:rPr>
              <w:t xml:space="preserve">8</w:t>
            </w:r>
          </w:p>
        </w:tc>
        <w:tc>
          <w:tcPr>
            <w:tcW w:w="2340" w:type="dxa"/>
          </w:tcPr>
          <w:p>
            <w:pPr>
              <w:spacing w:after="0"/>
            </w:pPr>
            <w:r>
              <w:rPr>
                <w:rFonts w:ascii="Consolas" w:hAnsi="Consolas"/>
              </w:rPr>
              <w:t xml:space="preserve">8</w:t>
            </w:r>
          </w:p>
        </w:tc>
        <w:tc>
          <w:tcPr>
            <w:tcW w:w="2340" w:type="dxa"/>
          </w:tcPr>
          <w:p>
            <w:pPr>
              <w:spacing w:after="0"/>
            </w:pPr>
            <w:r>
              <w:t xml:space="preserve">ok</w:t>
            </w:r>
          </w:p>
        </w:tc>
      </w:tr>
      <w:tr>
        <w:tc>
          <w:tcPr>
            <w:tcW w:w="2340" w:type="dxa"/>
          </w:tcPr>
          <w:p>
            <w:pPr>
              <w:spacing w:after="0"/>
            </w:pPr>
            <w:r>
              <w:t xml:space="preserve">regular reviewers, all instruments</w:t>
            </w:r>
          </w:p>
        </w:tc>
        <w:tc>
          <w:tcPr>
            <w:tcW w:w="2340" w:type="dxa"/>
          </w:tcPr>
          <w:p>
            <w:pPr>
              <w:spacing w:after="0"/>
            </w:pPr>
            <w:r>
              <w:rPr>
                <w:rFonts w:ascii="Consolas" w:hAnsi="Consolas"/>
              </w:rPr>
              <w:t xml:space="preserve">17</w:t>
            </w:r>
          </w:p>
        </w:tc>
        <w:tc>
          <w:tcPr>
            <w:tcW w:w="2340" w:type="dxa"/>
          </w:tcPr>
          <w:p>
            <w:pPr>
              <w:spacing w:after="0"/>
            </w:pPr>
            <w:r>
              <w:rPr>
                <w:rFonts w:ascii="Consolas" w:hAnsi="Consolas"/>
              </w:rPr>
              <w:t xml:space="preserve">17</w:t>
            </w:r>
          </w:p>
        </w:tc>
        <w:tc>
          <w:tcPr>
            <w:tcW w:w="2340" w:type="dxa"/>
          </w:tcPr>
          <w:p>
            <w:pPr>
              <w:spacing w:after="0"/>
            </w:pPr>
            <w:r>
              <w:t xml:space="preserve">ok</w:t>
            </w:r>
          </w:p>
        </w:tc>
      </w:tr>
      <w:tr>
        <w:tc>
          <w:tcPr>
            <w:tcW w:w="2340" w:type="dxa"/>
          </w:tcPr>
          <w:p>
            <w:pPr>
              <w:spacing w:after="0"/>
            </w:pPr>
            <w:r>
              <w:t xml:space="preserve">baseline-only regular reviewers</w:t>
            </w:r>
          </w:p>
        </w:tc>
        <w:tc>
          <w:tcPr>
            <w:tcW w:w="2340" w:type="dxa"/>
          </w:tcPr>
          <w:p>
            <w:pPr>
              <w:spacing w:after="0"/>
            </w:pPr>
            <w:r>
              <w:rPr>
                <w:rFonts w:ascii="Consolas" w:hAnsi="Consolas"/>
              </w:rPr>
              <w:t xml:space="preserve">3</w:t>
            </w:r>
          </w:p>
        </w:tc>
        <w:tc>
          <w:tcPr>
            <w:tcW w:w="2340" w:type="dxa"/>
          </w:tcPr>
          <w:p>
            <w:pPr>
              <w:spacing w:after="0"/>
            </w:pPr>
            <w:r>
              <w:rPr>
                <w:rFonts w:ascii="Consolas" w:hAnsi="Consolas"/>
              </w:rPr>
              <w:t xml:space="preserve">3</w:t>
            </w:r>
          </w:p>
        </w:tc>
        <w:tc>
          <w:tcPr>
            <w:tcW w:w="2340" w:type="dxa"/>
          </w:tcPr>
          <w:p>
            <w:pPr>
              <w:spacing w:after="0"/>
            </w:pPr>
            <w:r>
              <w:t xml:space="preserve">ok</w:t>
            </w:r>
          </w:p>
        </w:tc>
      </w:tr>
      <w:tr>
        <w:tc>
          <w:tcPr>
            <w:tcW w:w="2340" w:type="dxa"/>
          </w:tcPr>
          <w:p>
            <w:pPr>
              <w:spacing w:after="0"/>
            </w:pPr>
            <w:r>
              <w:t xml:space="preserve">records carrying a label</w:t>
            </w:r>
          </w:p>
        </w:tc>
        <w:tc>
          <w:tcPr>
            <w:tcW w:w="2340" w:type="dxa"/>
          </w:tcPr>
          <w:p>
            <w:pPr>
              <w:spacing w:after="0"/>
            </w:pPr>
            <w:r>
              <w:rPr>
                <w:rFonts w:ascii="Consolas" w:hAnsi="Consolas"/>
              </w:rPr>
              <w:t xml:space="preserve">15</w:t>
            </w:r>
          </w:p>
        </w:tc>
        <w:tc>
          <w:tcPr>
            <w:tcW w:w="2340" w:type="dxa"/>
          </w:tcPr>
          <w:p>
            <w:pPr>
              <w:spacing w:after="0"/>
            </w:pPr>
            <w:r>
              <w:rPr>
                <w:rFonts w:ascii="Consolas" w:hAnsi="Consolas"/>
              </w:rPr>
              <w:t xml:space="preserve">15</w:t>
            </w:r>
          </w:p>
        </w:tc>
        <w:tc>
          <w:tcPr>
            <w:tcW w:w="2340" w:type="dxa"/>
          </w:tcPr>
          <w:p>
            <w:pPr>
              <w:spacing w:after="0"/>
            </w:pPr>
            <w:r>
              <w:t xml:space="preserve">ok</w:t>
            </w:r>
          </w:p>
        </w:tc>
      </w:tr>
      <w:tr>
        <w:tc>
          <w:tcPr>
            <w:tcW w:w="2340" w:type="dxa"/>
          </w:tcPr>
          <w:p>
            <w:pPr>
              <w:spacing w:after="0"/>
            </w:pPr>
            <w:r>
              <w:t xml:space="preserve">estimable records</w:t>
            </w:r>
          </w:p>
        </w:tc>
        <w:tc>
          <w:tcPr>
            <w:tcW w:w="2340" w:type="dxa"/>
          </w:tcPr>
          <w:p>
            <w:pPr>
              <w:spacing w:after="0"/>
            </w:pPr>
            <w:r>
              <w:rPr>
                <w:rFonts w:ascii="Consolas" w:hAnsi="Consolas"/>
              </w:rPr>
              <w:t xml:space="preserve">10</w:t>
            </w:r>
          </w:p>
        </w:tc>
        <w:tc>
          <w:tcPr>
            <w:tcW w:w="2340" w:type="dxa"/>
          </w:tcPr>
          <w:p>
            <w:pPr>
              <w:spacing w:after="0"/>
            </w:pPr>
            <w:r>
              <w:rPr>
                <w:rFonts w:ascii="Consolas" w:hAnsi="Consolas"/>
              </w:rPr>
              <w:t xml:space="preserve">10</w:t>
            </w:r>
          </w:p>
        </w:tc>
        <w:tc>
          <w:tcPr>
            <w:tcW w:w="2340" w:type="dxa"/>
          </w:tcPr>
          <w:p>
            <w:pPr>
              <w:spacing w:after="0"/>
            </w:pPr>
            <w:r>
              <w:t xml:space="preserve">ok</w:t>
            </w:r>
          </w:p>
        </w:tc>
      </w:tr>
      <w:tr>
        <w:tc>
          <w:tcPr>
            <w:tcW w:w="2340" w:type="dxa"/>
          </w:tcPr>
          <w:p>
            <w:pPr>
              <w:spacing w:after="0"/>
            </w:pPr>
            <w:r>
              <w:t xml:space="preserve">single-rater records</w:t>
            </w:r>
          </w:p>
        </w:tc>
        <w:tc>
          <w:tcPr>
            <w:tcW w:w="2340" w:type="dxa"/>
          </w:tcPr>
          <w:p>
            <w:pPr>
              <w:spacing w:after="0"/>
            </w:pPr>
            <w:r>
              <w:rPr>
                <w:rFonts w:ascii="Consolas" w:hAnsi="Consolas"/>
              </w:rPr>
              <w:t xml:space="preserve">5</w:t>
            </w:r>
          </w:p>
        </w:tc>
        <w:tc>
          <w:tcPr>
            <w:tcW w:w="2340" w:type="dxa"/>
          </w:tcPr>
          <w:p>
            <w:pPr>
              <w:spacing w:after="0"/>
            </w:pPr>
            <w:r>
              <w:rPr>
                <w:rFonts w:ascii="Consolas" w:hAnsi="Consolas"/>
              </w:rPr>
              <w:t xml:space="preserve">5</w:t>
            </w:r>
          </w:p>
        </w:tc>
        <w:tc>
          <w:tcPr>
            <w:tcW w:w="2340" w:type="dxa"/>
          </w:tcPr>
          <w:p>
            <w:pPr>
              <w:spacing w:after="0"/>
            </w:pPr>
            <w:r>
              <w:t xml:space="preserve">ok</w:t>
            </w:r>
          </w:p>
        </w:tc>
      </w:tr>
    </w:tbl>
    <w:p>
      <w:pPr/>
      <w:r>
        <w:t/>
      </w:r>
    </w:p>
    <w:p>
      <w:pPr>
        <w:spacing w:after="140"/>
      </w:pPr>
      <w:r>
        <w:rPr>
          <w:b/>
        </w:rPr>
        <w:t xml:space="preserve">Edit 4: VERIFIED, no change made.</w:t>
      </w:r>
      <w:r>
        <w:t xml:space="preserve"> The current values stand. </w:t>
      </w:r>
      <w:r>
        <w:rPr>
          <w:rFonts w:ascii="Consolas" w:hAnsi="Consolas"/>
        </w:rPr>
        <w:t xml:space="preserve">0.624</w:t>
      </w:r>
      <w:r>
        <w:t xml:space="preserve">, </w:t>
      </w:r>
      <w:r>
        <w:rPr>
          <w:rFonts w:ascii="Consolas" w:hAnsi="Consolas"/>
        </w:rPr>
        <w:t xml:space="preserve">0.253 to 0.994</w:t>
      </w:r>
      <w:r>
        <w:t xml:space="preserve"> and </w:t>
      </w:r>
      <w:r>
        <w:rPr>
          <w:rFonts w:ascii="Consolas" w:hAnsi="Consolas"/>
        </w:rPr>
        <w:t xml:space="preserve">0.301 to 0.886</w:t>
      </w:r>
      <w:r>
        <w:t xml:space="preserve"> are absent from the manuscript and are on the forbidden list above.</w:t>
      </w:r>
    </w:p>
    <w:p>
      <w:pPr>
        <w:pBdr>
          <w:bottom w:val="single" w:sz="6" w:space="1" w:color="AAAAAA"/>
        </w:pBdr>
      </w:pPr>
    </w:p>
    <w:p>
      <w:pPr>
        <w:pStyle w:val="Heading2"/>
        <w:spacing w:after="140"/>
      </w:pPr>
      <w:r>
        <w:t xml:space="preserve">3. Preservation constraints, edits 5, 6, 9, 10, 11, 12, 13 and 14</w:t>
      </w:r>
    </w:p>
    <w:p>
      <w:pPr>
        <w:pStyle w:val="Heading3"/>
        <w:spacing w:after="140"/>
      </w:pPr>
      <w:r>
        <w:t xml:space="preserve">Edit 5. Reliability terminology</w:t>
      </w:r>
    </w:p>
    <w:p>
      <w:pPr>
        <w:spacing w:after="140"/>
      </w:pPr>
      <w:r>
        <w:rPr>
          <w:b/>
        </w:rPr>
        <w:t xml:space="preserve">Category:</w:t>
      </w:r>
      <w:r>
        <w:t xml:space="preserve"> TERMINOLOGICAL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invited-expert wording</w:t>
            </w:r>
          </w:p>
        </w:tc>
        <w:tc>
          <w:tcPr>
            <w:tcW w:w="4680" w:type="dxa"/>
          </w:tcPr>
          <w:p>
            <w:pPr>
              <w:spacing w:after="0"/>
            </w:pPr>
            <w:r>
              <w:t xml:space="preserve">yes</w:t>
            </w:r>
          </w:p>
        </w:tc>
      </w:tr>
      <w:tr>
        <w:tc>
          <w:tcPr>
            <w:tcW w:w="4680" w:type="dxa"/>
          </w:tcPr>
          <w:p>
            <w:pPr>
              <w:spacing w:after="0"/>
            </w:pPr>
            <w:r>
              <w:t xml:space="preserve">recruitment-channel sentence, verbatim</w:t>
            </w:r>
          </w:p>
        </w:tc>
        <w:tc>
          <w:tcPr>
            <w:tcW w:w="4680" w:type="dxa"/>
          </w:tcPr>
          <w:p>
            <w:pPr>
              <w:spacing w:after="0"/>
            </w:pPr>
            <w:r>
              <w:t xml:space="preserve">yes</w:t>
            </w:r>
          </w:p>
        </w:tc>
      </w:tr>
      <w:tr>
        <w:tc>
          <w:tcPr>
            <w:tcW w:w="4680" w:type="dxa"/>
          </w:tcPr>
          <w:p>
            <w:pPr>
              <w:spacing w:after="0"/>
            </w:pPr>
            <w:r>
              <w:t xml:space="preserve">regular reviewers in the table</w:t>
            </w:r>
          </w:p>
        </w:tc>
        <w:tc>
          <w:tcPr>
            <w:tcW w:w="4680" w:type="dxa"/>
          </w:tcPr>
          <w:p>
            <w:pPr>
              <w:spacing w:after="0"/>
            </w:pPr>
            <w:r>
              <w:t xml:space="preserve">yes</w:t>
            </w:r>
          </w:p>
        </w:tc>
      </w:tr>
      <w:tr>
        <w:tc>
          <w:tcPr>
            <w:tcW w:w="4680" w:type="dxa"/>
          </w:tcPr>
          <w:p>
            <w:pPr>
              <w:spacing w:after="0"/>
            </w:pPr>
            <w:r>
              <w:t xml:space="preserve">regular reviewers in the Acknowledgments</w:t>
            </w:r>
          </w:p>
        </w:tc>
        <w:tc>
          <w:tcPr>
            <w:tcW w:w="4680" w:type="dxa"/>
          </w:tcPr>
          <w:p>
            <w:pPr>
              <w:spacing w:after="0"/>
            </w:pPr>
            <w:r>
              <w:t xml:space="preserve">yes</w:t>
            </w:r>
          </w:p>
        </w:tc>
      </w:tr>
    </w:tbl>
    <w:p>
      <w:pPr/>
      <w:r>
        <w:t/>
      </w:r>
    </w:p>
    <w:p>
      <w:pPr>
        <w:pStyle w:val="Heading3"/>
        <w:spacing w:after="140"/>
      </w:pPr>
      <w:r>
        <w:t xml:space="preserve">Edit 6. Arm A / Arm B expert status</w:t>
      </w:r>
    </w:p>
    <w:p>
      <w:pPr>
        <w:spacing w:after="140"/>
      </w:pPr>
      <w:r>
        <w:rPr>
          <w:b/>
        </w:rPr>
        <w:t xml:space="preserve">Category:</w:t>
      </w:r>
      <w:r>
        <w:t xml:space="preserve"> CLARIFICATION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Arm B expertise parity and condition-not-expertise</w:t>
            </w:r>
          </w:p>
        </w:tc>
        <w:tc>
          <w:tcPr>
            <w:tcW w:w="4680" w:type="dxa"/>
          </w:tcPr>
          <w:p>
            <w:pPr>
              <w:spacing w:after="0"/>
            </w:pPr>
            <w:r>
              <w:t xml:space="preserve">yes</w:t>
            </w:r>
          </w:p>
        </w:tc>
      </w:tr>
      <w:tr>
        <w:tc>
          <w:tcPr>
            <w:tcW w:w="4680" w:type="dxa"/>
          </w:tcPr>
          <w:p>
            <w:pPr>
              <w:spacing w:after="0"/>
            </w:pPr>
            <w:r>
              <w:t xml:space="preserve">Arm A expert eligibility</w:t>
            </w:r>
          </w:p>
        </w:tc>
        <w:tc>
          <w:tcPr>
            <w:tcW w:w="4680" w:type="dxa"/>
          </w:tcPr>
          <w:p>
            <w:pPr>
              <w:spacing w:after="0"/>
            </w:pPr>
            <w:r>
              <w:t xml:space="preserve">yes</w:t>
            </w:r>
          </w:p>
        </w:tc>
      </w:tr>
      <w:tr>
        <w:tc>
          <w:tcPr>
            <w:tcW w:w="4680" w:type="dxa"/>
          </w:tcPr>
          <w:p>
            <w:pPr>
              <w:spacing w:after="0"/>
            </w:pPr>
            <w:r>
              <w:t xml:space="preserve">Arm B same standing, randomised between methods</w:t>
            </w:r>
          </w:p>
        </w:tc>
        <w:tc>
          <w:tcPr>
            <w:tcW w:w="4680" w:type="dxa"/>
          </w:tcPr>
          <w:p>
            <w:pPr>
              <w:spacing w:after="0"/>
            </w:pPr>
            <w:r>
              <w:t xml:space="preserve">yes</w:t>
            </w:r>
          </w:p>
        </w:tc>
      </w:tr>
      <w:tr>
        <w:tc>
          <w:tcPr>
            <w:tcW w:w="4680" w:type="dxa"/>
          </w:tcPr>
          <w:p>
            <w:pPr>
              <w:spacing w:after="0"/>
            </w:pPr>
            <w:r>
              <w:t xml:space="preserve">JRS-naive is exposure, not expertise</w:t>
            </w:r>
          </w:p>
        </w:tc>
        <w:tc>
          <w:tcPr>
            <w:tcW w:w="4680" w:type="dxa"/>
          </w:tcPr>
          <w:p>
            <w:pPr>
              <w:spacing w:after="0"/>
            </w:pPr>
            <w:r>
              <w:t xml:space="preserve">yes</w:t>
            </w:r>
          </w:p>
        </w:tc>
      </w:tr>
    </w:tbl>
    <w:p>
      <w:pPr/>
      <w:r>
        <w:t/>
      </w:r>
    </w:p>
    <w:p>
      <w:pPr>
        <w:pStyle w:val="Heading3"/>
        <w:spacing w:after="140"/>
      </w:pPr>
      <w:r>
        <w:t xml:space="preserve">Edit 9. Primary detection result</w:t>
      </w:r>
    </w:p>
    <w:p>
      <w:pPr>
        <w:spacing w:after="140"/>
      </w:pPr>
      <w:r>
        <w:rPr>
          <w:b/>
        </w:rPr>
        <w:t xml:space="preserve">Category:</w:t>
      </w:r>
      <w:r>
        <w:t xml:space="preserve"> STATISTICAL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panel size</w:t>
            </w:r>
          </w:p>
        </w:tc>
        <w:tc>
          <w:tcPr>
            <w:tcW w:w="4680" w:type="dxa"/>
          </w:tcPr>
          <w:p>
            <w:pPr>
              <w:spacing w:after="0"/>
            </w:pPr>
            <w:r>
              <w:t xml:space="preserve">yes</w:t>
            </w:r>
          </w:p>
        </w:tc>
      </w:tr>
      <w:tr>
        <w:tc>
          <w:tcPr>
            <w:tcW w:w="4680" w:type="dxa"/>
          </w:tcPr>
          <w:p>
            <w:pPr>
              <w:spacing w:after="0"/>
            </w:pPr>
            <w:r>
              <w:t xml:space="preserve">countries</w:t>
            </w:r>
          </w:p>
        </w:tc>
        <w:tc>
          <w:tcPr>
            <w:tcW w:w="4680" w:type="dxa"/>
          </w:tcPr>
          <w:p>
            <w:pPr>
              <w:spacing w:after="0"/>
            </w:pPr>
            <w:r>
              <w:t xml:space="preserve">yes</w:t>
            </w:r>
          </w:p>
        </w:tc>
      </w:tr>
      <w:tr>
        <w:tc>
          <w:tcPr>
            <w:tcW w:w="4680" w:type="dxa"/>
          </w:tcPr>
          <w:p>
            <w:pPr>
              <w:spacing w:after="0"/>
            </w:pPr>
            <w:r>
              <w:t xml:space="preserve">continents</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graded judgments</w:t>
            </w:r>
          </w:p>
        </w:tc>
        <w:tc>
          <w:tcPr>
            <w:tcW w:w="4680" w:type="dxa"/>
          </w:tcPr>
          <w:p>
            <w:pPr>
              <w:spacing w:after="0"/>
            </w:pPr>
            <w:r>
              <w:t xml:space="preserve">yes</w:t>
            </w:r>
          </w:p>
        </w:tc>
      </w:tr>
      <w:tr>
        <w:tc>
          <w:tcPr>
            <w:tcW w:w="4680" w:type="dxa"/>
          </w:tcPr>
          <w:p>
            <w:pPr>
              <w:spacing w:after="0"/>
            </w:pPr>
            <w:r>
              <w:t xml:space="preserve">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detection threshold</w:t>
            </w:r>
          </w:p>
        </w:tc>
        <w:tc>
          <w:tcPr>
            <w:tcW w:w="4680" w:type="dxa"/>
          </w:tcPr>
          <w:p>
            <w:pPr>
              <w:spacing w:after="0"/>
            </w:pPr>
            <w:r>
              <w:t xml:space="preserve">yes</w:t>
            </w:r>
          </w:p>
        </w:tc>
      </w:tr>
      <w:tr>
        <w:tc>
          <w:tcPr>
            <w:tcW w:w="4680" w:type="dxa"/>
          </w:tcPr>
          <w:p>
            <w:pPr>
              <w:spacing w:after="0"/>
            </w:pPr>
            <w:r>
              <w:t xml:space="preserve">lower-bound threshold</w:t>
            </w:r>
          </w:p>
        </w:tc>
        <w:tc>
          <w:tcPr>
            <w:tcW w:w="4680" w:type="dxa"/>
          </w:tcPr>
          <w:p>
            <w:pPr>
              <w:spacing w:after="0"/>
            </w:pPr>
            <w:r>
              <w:t xml:space="preserve">yes</w:t>
            </w:r>
          </w:p>
        </w:tc>
      </w:tr>
    </w:tbl>
    <w:p>
      <w:pPr/>
      <w:r>
        <w:t/>
      </w:r>
    </w:p>
    <w:p>
      <w:pPr>
        <w:pStyle w:val="Heading3"/>
        <w:spacing w:after="140"/>
      </w:pPr>
      <w:r>
        <w:t xml:space="preserve">Edit 10. JRS claim boundary</w:t>
      </w:r>
    </w:p>
    <w:p>
      <w:pPr>
        <w:spacing w:after="140"/>
      </w:pPr>
      <w:r>
        <w:rPr>
          <w:b/>
        </w:rPr>
        <w:t xml:space="preserve">Category:</w:t>
      </w:r>
      <w:r>
        <w:t xml:space="preserve"> CLAIM-BOUNDARY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feasibility not efficacy</w:t>
            </w:r>
          </w:p>
        </w:tc>
        <w:tc>
          <w:tcPr>
            <w:tcW w:w="4680" w:type="dxa"/>
          </w:tcPr>
          <w:p>
            <w:pPr>
              <w:spacing w:after="0"/>
            </w:pPr>
            <w:r>
              <w:t xml:space="preserve">yes</w:t>
            </w:r>
          </w:p>
        </w:tc>
      </w:tr>
      <w:tr>
        <w:tc>
          <w:tcPr>
            <w:tcW w:w="4680" w:type="dxa"/>
          </w:tcPr>
          <w:p>
            <w:pPr>
              <w:spacing w:after="0"/>
            </w:pPr>
            <w:r>
              <w:t xml:space="preserve">comparison study is a different question</w:t>
            </w:r>
          </w:p>
        </w:tc>
        <w:tc>
          <w:tcPr>
            <w:tcW w:w="4680" w:type="dxa"/>
          </w:tcPr>
          <w:p>
            <w:pPr>
              <w:spacing w:after="0"/>
            </w:pPr>
            <w:r>
              <w:t xml:space="preserve">yes</w:t>
            </w:r>
          </w:p>
        </w:tc>
      </w:tr>
      <w:tr>
        <w:tc>
          <w:tcPr>
            <w:tcW w:w="4680" w:type="dxa"/>
          </w:tcPr>
          <w:p>
            <w:pPr>
              <w:spacing w:after="0"/>
            </w:pPr>
            <w:r>
              <w:t xml:space="preserve">no efficacy</w:t>
            </w:r>
          </w:p>
        </w:tc>
        <w:tc>
          <w:tcPr>
            <w:tcW w:w="4680" w:type="dxa"/>
          </w:tcPr>
          <w:p>
            <w:pPr>
              <w:spacing w:after="0"/>
            </w:pPr>
            <w:r>
              <w:t xml:space="preserve">yes</w:t>
            </w:r>
          </w:p>
        </w:tc>
      </w:tr>
    </w:tbl>
    <w:p>
      <w:pPr/>
      <w:r>
        <w:t/>
      </w:r>
    </w:p>
    <w:p>
      <w:pPr>
        <w:pStyle w:val="Heading3"/>
        <w:spacing w:after="140"/>
      </w:pPr>
      <w:r>
        <w:t xml:space="preserve">Edit 11. DRR claim boundary</w:t>
      </w:r>
    </w:p>
    <w:p>
      <w:pPr>
        <w:spacing w:after="140"/>
      </w:pPr>
      <w:r>
        <w:rPr>
          <w:b/>
        </w:rPr>
        <w:t xml:space="preserve">Category:</w:t>
      </w:r>
      <w:r>
        <w:t xml:space="preserve"> CLAIM-BOUNDARY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abstract disclaimer</w:t>
            </w:r>
          </w:p>
        </w:tc>
        <w:tc>
          <w:tcPr>
            <w:tcW w:w="4680" w:type="dxa"/>
          </w:tcPr>
          <w:p>
            <w:pPr>
              <w:spacing w:after="0"/>
            </w:pPr>
            <w:r>
              <w:t xml:space="preserve">yes</w:t>
            </w:r>
          </w:p>
        </w:tc>
      </w:tr>
      <w:tr>
        <w:tc>
          <w:tcPr>
            <w:tcW w:w="4680" w:type="dxa"/>
          </w:tcPr>
          <w:p>
            <w:pPr>
              <w:spacing w:after="0"/>
            </w:pPr>
            <w:r>
              <w:t xml:space="preserve">cross-cultural validity not established</w:t>
            </w:r>
          </w:p>
        </w:tc>
        <w:tc>
          <w:tcPr>
            <w:tcW w:w="4680" w:type="dxa"/>
          </w:tcPr>
          <w:p>
            <w:pPr>
              <w:spacing w:after="0"/>
            </w:pPr>
            <w:r>
              <w:t xml:space="preserve">yes</w:t>
            </w:r>
          </w:p>
        </w:tc>
      </w:tr>
      <w:tr>
        <w:tc>
          <w:tcPr>
            <w:tcW w:w="4680" w:type="dxa"/>
          </w:tcPr>
          <w:p>
            <w:pPr>
              <w:spacing w:after="0"/>
            </w:pPr>
            <w:r>
              <w:t xml:space="preserve">workflow independence is an intention</w:t>
            </w:r>
          </w:p>
        </w:tc>
        <w:tc>
          <w:tcPr>
            <w:tcW w:w="4680" w:type="dxa"/>
          </w:tcPr>
          <w:p>
            <w:pPr>
              <w:spacing w:after="0"/>
            </w:pPr>
            <w:r>
              <w:t xml:space="preserve">yes</w:t>
            </w:r>
          </w:p>
        </w:tc>
      </w:tr>
      <w:tr>
        <w:tc>
          <w:tcPr>
            <w:tcW w:w="4680" w:type="dxa"/>
          </w:tcPr>
          <w:p>
            <w:pPr>
              <w:spacing w:after="0"/>
            </w:pPr>
            <w:r>
              <w:t xml:space="preserve">not psychometrically validated</w:t>
            </w:r>
          </w:p>
        </w:tc>
        <w:tc>
          <w:tcPr>
            <w:tcW w:w="4680" w:type="dxa"/>
          </w:tcPr>
          <w:p>
            <w:pPr>
              <w:spacing w:after="0"/>
            </w:pPr>
            <w:r>
              <w:t xml:space="preserve">yes</w:t>
            </w:r>
          </w:p>
        </w:tc>
      </w:tr>
      <w:tr>
        <w:tc>
          <w:tcPr>
            <w:tcW w:w="4680" w:type="dxa"/>
          </w:tcPr>
          <w:p>
            <w:pPr>
              <w:spacing w:after="0"/>
            </w:pPr>
            <w:r>
              <w:t xml:space="preserve">criterion validity not attempted</w:t>
            </w:r>
          </w:p>
        </w:tc>
        <w:tc>
          <w:tcPr>
            <w:tcW w:w="4680" w:type="dxa"/>
          </w:tcPr>
          <w:p>
            <w:pPr>
              <w:spacing w:after="0"/>
            </w:pPr>
            <w:r>
              <w:t xml:space="preserve">yes</w:t>
            </w:r>
          </w:p>
        </w:tc>
      </w:tr>
    </w:tbl>
    <w:p>
      <w:pPr/>
      <w:r>
        <w:t/>
      </w:r>
    </w:p>
    <w:p>
      <w:pPr>
        <w:pStyle w:val="Heading3"/>
        <w:spacing w:after="140"/>
      </w:pPr>
      <w:r>
        <w:t xml:space="preserve">Edit 12. Record-level disclosure</w:t>
      </w:r>
    </w:p>
    <w:p>
      <w:pPr>
        <w:spacing w:after="140"/>
      </w:pPr>
      <w:r>
        <w:rPr>
          <w:b/>
        </w:rPr>
        <w:t xml:space="preserve">Category:</w:t>
      </w:r>
      <w:r>
        <w:t xml:space="preserve"> METHODOLOGICAL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fifteen records sentence</w:t>
            </w:r>
          </w:p>
        </w:tc>
        <w:tc>
          <w:tcPr>
            <w:tcW w:w="4680" w:type="dxa"/>
          </w:tcPr>
          <w:p>
            <w:pPr>
              <w:spacing w:after="0"/>
            </w:pPr>
            <w:r>
              <w:t xml:space="preserve">yes</w:t>
            </w:r>
          </w:p>
        </w:tc>
      </w:tr>
      <w:tr>
        <w:tc>
          <w:tcPr>
            <w:tcW w:w="4680" w:type="dxa"/>
          </w:tcPr>
          <w:p>
            <w:pPr>
              <w:spacing w:after="0"/>
            </w:pPr>
            <w:r>
              <w:t xml:space="preserve">estimability reason</w:t>
            </w:r>
          </w:p>
        </w:tc>
        <w:tc>
          <w:tcPr>
            <w:tcW w:w="4680" w:type="dxa"/>
          </w:tcPr>
          <w:p>
            <w:pPr>
              <w:spacing w:after="0"/>
            </w:pPr>
            <w:r>
              <w:t xml:space="preserve">yes</w:t>
            </w:r>
          </w:p>
        </w:tc>
      </w:tr>
    </w:tbl>
    <w:p>
      <w:pPr/>
      <w:r>
        <w:t/>
      </w:r>
    </w:p>
    <w:p>
      <w:pPr>
        <w:pStyle w:val="Heading3"/>
        <w:spacing w:after="140"/>
      </w:pPr>
      <w:r>
        <w:t xml:space="preserve">Edit 13. Reliability failure remains disclosed</w:t>
      </w:r>
    </w:p>
    <w:p>
      <w:pPr>
        <w:spacing w:after="140"/>
      </w:pPr>
      <w:r>
        <w:rPr>
          <w:b/>
        </w:rPr>
        <w:t xml:space="preserve">Category:</w:t>
      </w:r>
      <w:r>
        <w:t xml:space="preserve"> STATISTICAL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criterion not met</w:t>
            </w:r>
          </w:p>
        </w:tc>
        <w:tc>
          <w:tcPr>
            <w:tcW w:w="4680" w:type="dxa"/>
          </w:tcPr>
          <w:p>
            <w:pPr>
              <w:spacing w:after="0"/>
            </w:pPr>
            <w:r>
              <w:t xml:space="preserve">yes</w:t>
            </w:r>
          </w:p>
        </w:tc>
      </w:tr>
      <w:tr>
        <w:tc>
          <w:tcPr>
            <w:tcW w:w="4680" w:type="dxa"/>
          </w:tcPr>
          <w:p>
            <w:pPr>
              <w:spacing w:after="0"/>
            </w:pPr>
            <w:r>
              <w:t xml:space="preserve">analytic interval is the specified one</w:t>
            </w:r>
          </w:p>
        </w:tc>
        <w:tc>
          <w:tcPr>
            <w:tcW w:w="4680" w:type="dxa"/>
          </w:tcPr>
          <w:p>
            <w:pPr>
              <w:spacing w:after="0"/>
            </w:pPr>
            <w:r>
              <w:t xml:space="preserve">yes</w:t>
            </w:r>
          </w:p>
        </w:tc>
      </w:tr>
      <w:tr>
        <w:tc>
          <w:tcPr>
            <w:tcW w:w="4680" w:type="dxa"/>
          </w:tcPr>
          <w:p>
            <w:pPr>
              <w:spacing w:after="0"/>
            </w:pPr>
            <w:r>
              <w:t xml:space="preserve">bootstrap is not used to claim a pass</w:t>
            </w:r>
          </w:p>
        </w:tc>
        <w:tc>
          <w:tcPr>
            <w:tcW w:w="4680" w:type="dxa"/>
          </w:tcPr>
          <w:p>
            <w:pPr>
              <w:spacing w:after="0"/>
            </w:pPr>
            <w:r>
              <w:t xml:space="preserve">yes</w:t>
            </w:r>
          </w:p>
        </w:tc>
      </w:tr>
      <w:tr>
        <w:tc>
          <w:tcPr>
            <w:tcW w:w="4680" w:type="dxa"/>
          </w:tcPr>
          <w:p>
            <w:pPr>
              <w:spacing w:after="0"/>
            </w:pPr>
            <w:r>
              <w:t xml:space="preserve">expert AC1</w:t>
            </w:r>
          </w:p>
        </w:tc>
        <w:tc>
          <w:tcPr>
            <w:tcW w:w="4680" w:type="dxa"/>
          </w:tcPr>
          <w:p>
            <w:pPr>
              <w:spacing w:after="0"/>
            </w:pPr>
            <w:r>
              <w:t xml:space="preserve">yes</w:t>
            </w:r>
          </w:p>
        </w:tc>
      </w:tr>
      <w:tr>
        <w:tc>
          <w:tcPr>
            <w:tcW w:w="4680" w:type="dxa"/>
          </w:tcPr>
          <w:p>
            <w:pPr>
              <w:spacing w:after="0"/>
            </w:pPr>
            <w:r>
              <w:t xml:space="preserve">regular-reviewer AC1</w:t>
            </w:r>
          </w:p>
        </w:tc>
        <w:tc>
          <w:tcPr>
            <w:tcW w:w="4680" w:type="dxa"/>
          </w:tcPr>
          <w:p>
            <w:pPr>
              <w:spacing w:after="0"/>
            </w:pPr>
            <w:r>
              <w:t xml:space="preserve">yes</w:t>
            </w:r>
          </w:p>
        </w:tc>
      </w:tr>
    </w:tbl>
    <w:p>
      <w:pPr/>
      <w:r>
        <w:t/>
      </w:r>
    </w:p>
    <w:p>
      <w:pPr>
        <w:pStyle w:val="Heading3"/>
        <w:spacing w:after="140"/>
      </w:pPr>
      <w:r>
        <w:t xml:space="preserve">Edit 14. Limitation language</w:t>
      </w:r>
    </w:p>
    <w:p>
      <w:pPr>
        <w:spacing w:after="140"/>
      </w:pPr>
      <w:r>
        <w:rPr>
          <w:b/>
        </w:rPr>
        <w:t xml:space="preserve">Category:</w:t>
      </w:r>
      <w:r>
        <w:t xml:space="preserve"> METHODOLOGICAL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recruitment is not sampling</w:t>
            </w:r>
          </w:p>
        </w:tc>
        <w:tc>
          <w:tcPr>
            <w:tcW w:w="4680" w:type="dxa"/>
          </w:tcPr>
          <w:p>
            <w:pPr>
              <w:spacing w:after="0"/>
            </w:pPr>
            <w:r>
              <w:t xml:space="preserve">yes</w:t>
            </w:r>
          </w:p>
        </w:tc>
      </w:tr>
      <w:tr>
        <w:tc>
          <w:tcPr>
            <w:tcW w:w="4680" w:type="dxa"/>
          </w:tcPr>
          <w:p>
            <w:pPr>
              <w:spacing w:after="0"/>
            </w:pPr>
            <w:r>
              <w:t xml:space="preserve">spectrum restriction</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r>
        <w:tc>
          <w:tcPr>
            <w:tcW w:w="4680" w:type="dxa"/>
          </w:tcPr>
          <w:p>
            <w:pPr>
              <w:spacing w:after="0"/>
            </w:pPr>
            <w:r>
              <w:t xml:space="preserve">reliability sample too small</w:t>
            </w:r>
          </w:p>
        </w:tc>
        <w:tc>
          <w:tcPr>
            <w:tcW w:w="4680" w:type="dxa"/>
          </w:tcPr>
          <w:p>
            <w:pPr>
              <w:spacing w:after="0"/>
            </w:pPr>
            <w:r>
              <w:t xml:space="preserve">yes</w:t>
            </w:r>
          </w:p>
        </w:tc>
      </w:tr>
      <w:tr>
        <w:tc>
          <w:tcPr>
            <w:tcW w:w="4680" w:type="dxa"/>
          </w:tcPr>
          <w:p>
            <w:pPr>
              <w:spacing w:after="0"/>
            </w:pPr>
            <w:r>
              <w:t xml:space="preserve">interim reliability</w:t>
            </w:r>
          </w:p>
        </w:tc>
        <w:tc>
          <w:tcPr>
            <w:tcW w:w="4680" w:type="dxa"/>
          </w:tcPr>
          <w:p>
            <w:pPr>
              <w:spacing w:after="0"/>
            </w:pPr>
            <w:r>
              <w:t xml:space="preserve">yes</w:t>
            </w:r>
          </w:p>
        </w:tc>
      </w:tr>
      <w:tr>
        <w:tc>
          <w:tcPr>
            <w:tcW w:w="4680" w:type="dxa"/>
          </w:tcPr>
          <w:p>
            <w:pPr>
              <w:spacing w:after="0"/>
            </w:pPr>
            <w:r>
              <w:t xml:space="preserve">item variance</w:t>
            </w:r>
          </w:p>
        </w:tc>
        <w:tc>
          <w:tcPr>
            <w:tcW w:w="4680" w:type="dxa"/>
          </w:tcPr>
          <w:p>
            <w:pPr>
              <w:spacing w:after="0"/>
            </w:pPr>
            <w:r>
              <w:t xml:space="preserve">yes</w:t>
            </w:r>
          </w:p>
        </w:tc>
      </w:tr>
      <w:tr>
        <w:tc>
          <w:tcPr>
            <w:tcW w:w="4680" w:type="dxa"/>
          </w:tcPr>
          <w:p>
            <w:pPr>
              <w:spacing w:after="0"/>
            </w:pPr>
            <w:r>
              <w:t xml:space="preserve">no independent adjudicator</w:t>
            </w:r>
          </w:p>
        </w:tc>
        <w:tc>
          <w:tcPr>
            <w:tcW w:w="4680" w:type="dxa"/>
          </w:tcPr>
          <w:p>
            <w:pPr>
              <w:spacing w:after="0"/>
            </w:pPr>
            <w:r>
              <w:t xml:space="preserve">yes</w:t>
            </w:r>
          </w:p>
        </w:tc>
      </w:tr>
      <w:tr>
        <w:tc>
          <w:tcPr>
            <w:tcW w:w="4680" w:type="dxa"/>
          </w:tcPr>
          <w:p>
            <w:pPr>
              <w:spacing w:after="0"/>
            </w:pPr>
            <w:r>
              <w:t xml:space="preserve">group not individual reliance</w:t>
            </w:r>
          </w:p>
        </w:tc>
        <w:tc>
          <w:tcPr>
            <w:tcW w:w="4680" w:type="dxa"/>
          </w:tcPr>
          <w:p>
            <w:pPr>
              <w:spacing w:after="0"/>
            </w:pPr>
            <w:r>
              <w:t xml:space="preserve">yes</w:t>
            </w:r>
          </w:p>
        </w:tc>
      </w:tr>
    </w:tbl>
    <w:p>
      <w:pPr/>
      <w:r>
        <w:t/>
      </w:r>
    </w:p>
    <w:p>
      <w:pPr>
        <w:pBdr>
          <w:bottom w:val="single" w:sz="6" w:space="1" w:color="AAAAAA"/>
        </w:pBdr>
      </w:pPr>
    </w:p>
    <w:p>
      <w:pPr>
        <w:pStyle w:val="Heading2"/>
        <w:spacing w:after="140"/>
      </w:pPr>
      <w:r>
        <w:t xml:space="preserve">4. Final global search</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Term</w:t>
            </w:r>
          </w:p>
        </w:tc>
        <w:tc>
          <w:tcPr>
            <w:tcW w:w="2340" w:type="dxa"/>
          </w:tcPr>
          <w:p>
            <w:pPr>
              <w:spacing w:after="0"/>
            </w:pPr>
            <w:r>
              <w:t xml:space="preserve">Occurrences</w:t>
            </w:r>
          </w:p>
        </w:tc>
        <w:tc>
          <w:tcPr>
            <w:tcW w:w="2340" w:type="dxa"/>
          </w:tcPr>
          <w:p>
            <w:pPr>
              <w:spacing w:after="0"/>
            </w:pPr>
            <w:r>
              <w:t xml:space="preserve">Required</w:t>
            </w:r>
          </w:p>
        </w:tc>
        <w:tc>
          <w:tcPr>
            <w:tcW w:w="2340" w:type="dxa"/>
          </w:tcPr>
          <w:p>
            <w:pPr>
              <w:spacing w:after="0"/>
            </w:pPr>
            <w:r>
              <w:t xml:space="preserve">Result</w:t>
            </w:r>
          </w:p>
        </w:tc>
      </w:tr>
      <w:tr>
        <w:tc>
          <w:tcPr>
            <w:tcW w:w="2340" w:type="dxa"/>
          </w:tcPr>
          <w:p>
            <w:pPr>
              <w:spacing w:after="0"/>
            </w:pPr>
            <w:r>
              <w:rPr>
                <w:rFonts w:ascii="Consolas" w:hAnsi="Consolas"/>
              </w:rPr>
              <w:t xml:space="preserve">JRS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validated JRS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proven</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efficacy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improves documentation</w:t>
            </w:r>
            <w:r>
              <w:t xml:space="preserve"> (exempt: </w:t>
            </w:r>
            <w:r>
              <w:rPr>
                <w:rFonts w:ascii="Consolas" w:hAnsi="Consolas"/>
              </w:rPr>
              <w:t xml:space="preserve">that JRS itself improves documentation outcomes</w:t>
            </w:r>
            <w:r>
              <w:t xml:space="preserve">)</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improves reviewer performance</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outperforms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criterion validity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2340" w:type="dxa"/>
          </w:tcPr>
          <w:p>
            <w:pPr>
              <w:spacing w:after="0"/>
            </w:pPr>
            <w:r>
              <w:t xml:space="preserve">1</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measurement invariance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workflow independence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enterprise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industry standard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non-expert</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non-experts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 reviewer</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 reviewers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trained-reviewer</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those same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0.624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0.253 to 0.994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0.301 to 0.886</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independent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expert panel</w:t>
            </w:r>
          </w:p>
        </w:tc>
        <w:tc>
          <w:tcPr>
            <w:tcW w:w="2340" w:type="dxa"/>
          </w:tcPr>
          <w:p>
            <w:pPr>
              <w:spacing w:after="0"/>
            </w:pPr>
            <w:r>
              <w:t xml:space="preserve">0</w:t>
            </w:r>
          </w:p>
        </w:tc>
        <w:tc>
          <w:tcPr>
            <w:tcW w:w="2340" w:type="dxa"/>
          </w:tcPr>
          <w:p>
            <w:pPr>
              <w:spacing w:after="0"/>
            </w:pPr>
            <w:r>
              <w:t xml:space="preserve">0, ambiguous between three populations</w:t>
            </w:r>
          </w:p>
        </w:tc>
        <w:tc>
          <w:tcPr>
            <w:tcW w:w="2340" w:type="dxa"/>
          </w:tcPr>
          <w:p>
            <w:pPr>
              <w:spacing w:after="0"/>
            </w:pPr>
            <w:r>
              <w:t xml:space="preserve">clean</w:t>
            </w:r>
          </w:p>
        </w:tc>
      </w:tr>
      <w:tr>
        <w:tc>
          <w:tcPr>
            <w:tcW w:w="2340" w:type="dxa"/>
          </w:tcPr>
          <w:p>
            <w:pPr>
              <w:spacing w:after="0"/>
            </w:pPr>
            <w:r>
              <w:rPr>
                <w:rFonts w:ascii="Consolas" w:hAnsi="Consolas"/>
              </w:rPr>
              <w:t xml:space="preserve">the expert group</w:t>
            </w:r>
          </w:p>
        </w:tc>
        <w:tc>
          <w:tcPr>
            <w:tcW w:w="2340" w:type="dxa"/>
          </w:tcPr>
          <w:p>
            <w:pPr>
              <w:spacing w:after="0"/>
            </w:pPr>
            <w:r>
              <w:t xml:space="preserve">0</w:t>
            </w:r>
          </w:p>
        </w:tc>
        <w:tc>
          <w:tcPr>
            <w:tcW w:w="2340" w:type="dxa"/>
          </w:tcPr>
          <w:p>
            <w:pPr>
              <w:spacing w:after="0"/>
            </w:pPr>
            <w:r>
              <w:t xml:space="preserve">0, ambiguous between three populations</w:t>
            </w:r>
          </w:p>
        </w:tc>
        <w:tc>
          <w:tcPr>
            <w:tcW w:w="2340" w:type="dxa"/>
          </w:tcPr>
          <w:p>
            <w:pPr>
              <w:spacing w:after="0"/>
            </w:pPr>
            <w:r>
              <w:t xml:space="preserve">clean</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Permitted term</w:t>
            </w:r>
          </w:p>
        </w:tc>
        <w:tc>
          <w:tcPr>
            <w:tcW w:w="3120" w:type="dxa"/>
          </w:tcPr>
          <w:p>
            <w:pPr>
              <w:spacing w:after="0"/>
            </w:pPr>
            <w:r>
              <w:t xml:space="preserve">Occurrences</w:t>
            </w:r>
          </w:p>
        </w:tc>
        <w:tc>
          <w:tcPr>
            <w:tcW w:w="3120" w:type="dxa"/>
          </w:tcPr>
          <w:p>
            <w:pPr>
              <w:spacing w:after="0"/>
            </w:pPr>
            <w:r>
              <w:t xml:space="preserve">Population it names</w:t>
            </w:r>
          </w:p>
        </w:tc>
      </w:tr>
      <w:tr>
        <w:tc>
          <w:tcPr>
            <w:tcW w:w="3120" w:type="dxa"/>
          </w:tcPr>
          <w:p>
            <w:pPr>
              <w:spacing w:after="0"/>
            </w:pPr>
            <w:r>
              <w:rPr>
                <w:rFonts w:ascii="Consolas" w:hAnsi="Consolas"/>
              </w:rPr>
              <w:t xml:space="preserve">Arm A</w:t>
            </w:r>
          </w:p>
        </w:tc>
        <w:tc>
          <w:tcPr>
            <w:tcW w:w="3120" w:type="dxa"/>
          </w:tcPr>
          <w:p>
            <w:pPr>
              <w:spacing w:after="0"/>
            </w:pPr>
            <w:r>
              <w:t xml:space="preserve">0</w:t>
            </w:r>
          </w:p>
        </w:tc>
        <w:tc>
          <w:tcPr>
            <w:tcW w:w="3120" w:type="dxa"/>
          </w:tcPr>
          <w:p>
            <w:pPr>
              <w:spacing w:after="0"/>
            </w:pPr>
            <w:r>
              <w:t xml:space="preserve">Study 011, detection panel</w:t>
            </w:r>
          </w:p>
        </w:tc>
      </w:tr>
      <w:tr>
        <w:tc>
          <w:tcPr>
            <w:tcW w:w="3120" w:type="dxa"/>
          </w:tcPr>
          <w:p>
            <w:pPr>
              <w:spacing w:after="0"/>
            </w:pPr>
            <w:r>
              <w:rPr>
                <w:rFonts w:ascii="Consolas" w:hAnsi="Consolas"/>
              </w:rPr>
              <w:t xml:space="preserve">Arm B</w:t>
            </w:r>
          </w:p>
        </w:tc>
        <w:tc>
          <w:tcPr>
            <w:tcW w:w="3120" w:type="dxa"/>
          </w:tcPr>
          <w:p>
            <w:pPr>
              <w:spacing w:after="0"/>
            </w:pPr>
            <w:r>
              <w:t xml:space="preserve">0</w:t>
            </w:r>
          </w:p>
        </w:tc>
        <w:tc>
          <w:tcPr>
            <w:tcW w:w="3120" w:type="dxa"/>
          </w:tcPr>
          <w:p>
            <w:pPr>
              <w:spacing w:after="0"/>
            </w:pPr>
            <w:r>
              <w:t xml:space="preserve">Study 012, comparison study</w:t>
            </w:r>
          </w:p>
        </w:tc>
      </w:tr>
      <w:tr>
        <w:tc>
          <w:tcPr>
            <w:tcW w:w="3120" w:type="dxa"/>
          </w:tcPr>
          <w:p>
            <w:pPr>
              <w:spacing w:after="0"/>
            </w:pPr>
            <w:r>
              <w:rPr>
                <w:rFonts w:ascii="Consolas" w:hAnsi="Consolas"/>
              </w:rPr>
              <w:t xml:space="preserve">B1</w:t>
            </w:r>
          </w:p>
        </w:tc>
        <w:tc>
          <w:tcPr>
            <w:tcW w:w="3120" w:type="dxa"/>
          </w:tcPr>
          <w:p>
            <w:pPr>
              <w:spacing w:after="0"/>
            </w:pPr>
            <w:r>
              <w:t xml:space="preserve">0</w:t>
            </w:r>
          </w:p>
        </w:tc>
        <w:tc>
          <w:tcPr>
            <w:tcW w:w="3120" w:type="dxa"/>
          </w:tcPr>
          <w:p>
            <w:pPr>
              <w:spacing w:after="0"/>
            </w:pPr>
            <w:r>
              <w:t xml:space="preserve">Study 012, five-condition condition</w:t>
            </w:r>
          </w:p>
        </w:tc>
      </w:tr>
      <w:tr>
        <w:tc>
          <w:tcPr>
            <w:tcW w:w="3120" w:type="dxa"/>
          </w:tcPr>
          <w:p>
            <w:pPr>
              <w:spacing w:after="0"/>
            </w:pPr>
            <w:r>
              <w:rPr>
                <w:rFonts w:ascii="Consolas" w:hAnsi="Consolas"/>
              </w:rPr>
              <w:t xml:space="preserve">B2</w:t>
            </w:r>
          </w:p>
        </w:tc>
        <w:tc>
          <w:tcPr>
            <w:tcW w:w="3120" w:type="dxa"/>
          </w:tcPr>
          <w:p>
            <w:pPr>
              <w:spacing w:after="0"/>
            </w:pPr>
            <w:r>
              <w:t xml:space="preserve">0</w:t>
            </w:r>
          </w:p>
        </w:tc>
        <w:tc>
          <w:tcPr>
            <w:tcW w:w="3120" w:type="dxa"/>
          </w:tcPr>
          <w:p>
            <w:pPr>
              <w:spacing w:after="0"/>
            </w:pPr>
            <w:r>
              <w:t xml:space="preserve">Study 012, general-prompt condition</w:t>
            </w:r>
          </w:p>
        </w:tc>
      </w:tr>
      <w:tr>
        <w:tc>
          <w:tcPr>
            <w:tcW w:w="3120" w:type="dxa"/>
          </w:tcPr>
          <w:p>
            <w:pPr>
              <w:spacing w:after="0"/>
            </w:pPr>
            <w:r>
              <w:rPr>
                <w:rFonts w:ascii="Consolas" w:hAnsi="Consolas"/>
              </w:rPr>
              <w:t xml:space="preserve">invited experts</w:t>
            </w:r>
          </w:p>
        </w:tc>
        <w:tc>
          <w:tcPr>
            <w:tcW w:w="3120" w:type="dxa"/>
          </w:tcPr>
          <w:p>
            <w:pPr>
              <w:spacing w:after="0"/>
            </w:pPr>
            <w:r>
              <w:t xml:space="preserve">3</w:t>
            </w:r>
          </w:p>
        </w:tc>
        <w:tc>
          <w:tcPr>
            <w:tcW w:w="3120" w:type="dxa"/>
          </w:tcPr>
          <w:p>
            <w:pPr>
              <w:spacing w:after="0"/>
            </w:pPr>
            <w:r>
              <w:t xml:space="preserve">Study 004, E-coded raters</w:t>
            </w:r>
          </w:p>
        </w:tc>
      </w:tr>
      <w:tr>
        <w:tc>
          <w:tcPr>
            <w:tcW w:w="3120" w:type="dxa"/>
          </w:tcPr>
          <w:p>
            <w:pPr>
              <w:spacing w:after="0"/>
            </w:pPr>
            <w:r>
              <w:rPr>
                <w:rFonts w:ascii="Consolas" w:hAnsi="Consolas"/>
              </w:rPr>
              <w:t xml:space="preserve">regular reviewers</w:t>
            </w:r>
          </w:p>
        </w:tc>
        <w:tc>
          <w:tcPr>
            <w:tcW w:w="3120" w:type="dxa"/>
          </w:tcPr>
          <w:p>
            <w:pPr>
              <w:spacing w:after="0"/>
            </w:pPr>
            <w:r>
              <w:t xml:space="preserve">6</w:t>
            </w:r>
          </w:p>
        </w:tc>
        <w:tc>
          <w:tcPr>
            <w:tcW w:w="3120" w:type="dxa"/>
          </w:tcPr>
          <w:p>
            <w:pPr>
              <w:spacing w:after="0"/>
            </w:pPr>
            <w:r>
              <w:t xml:space="preserve">Study 004, R-coded raters</w:t>
            </w:r>
          </w:p>
        </w:tc>
      </w:tr>
      <w:tr>
        <w:tc>
          <w:tcPr>
            <w:tcW w:w="3120" w:type="dxa"/>
          </w:tcPr>
          <w:p>
            <w:pPr>
              <w:spacing w:after="0"/>
            </w:pPr>
            <w:r>
              <w:rPr>
                <w:rFonts w:ascii="Consolas" w:hAnsi="Consolas"/>
              </w:rPr>
              <w:t xml:space="preserve">detection panel</w:t>
            </w:r>
          </w:p>
        </w:tc>
        <w:tc>
          <w:tcPr>
            <w:tcW w:w="3120" w:type="dxa"/>
          </w:tcPr>
          <w:p>
            <w:pPr>
              <w:spacing w:after="0"/>
            </w:pPr>
            <w:r>
              <w:t xml:space="preserve">3</w:t>
            </w:r>
          </w:p>
        </w:tc>
        <w:tc>
          <w:tcPr>
            <w:tcW w:w="3120" w:type="dxa"/>
          </w:tcPr>
          <w:p>
            <w:pPr>
              <w:spacing w:after="0"/>
            </w:pPr>
            <w:r>
              <w:t xml:space="preserve">Study 011</w:t>
            </w:r>
          </w:p>
        </w:tc>
      </w:tr>
      <w:tr>
        <w:tc>
          <w:tcPr>
            <w:tcW w:w="3120" w:type="dxa"/>
          </w:tcPr>
          <w:p>
            <w:pPr>
              <w:spacing w:after="0"/>
            </w:pPr>
            <w:r>
              <w:rPr>
                <w:rFonts w:ascii="Consolas" w:hAnsi="Consolas"/>
              </w:rPr>
              <w:t xml:space="preserve">comparison study</w:t>
            </w:r>
          </w:p>
        </w:tc>
        <w:tc>
          <w:tcPr>
            <w:tcW w:w="3120" w:type="dxa"/>
          </w:tcPr>
          <w:p>
            <w:pPr>
              <w:spacing w:after="0"/>
            </w:pPr>
            <w:r>
              <w:t xml:space="preserve">2</w:t>
            </w:r>
          </w:p>
        </w:tc>
        <w:tc>
          <w:tcPr>
            <w:tcW w:w="3120" w:type="dxa"/>
          </w:tcPr>
          <w:p>
            <w:pPr>
              <w:spacing w:after="0"/>
            </w:pPr>
            <w:r>
              <w:t xml:space="preserve">Study 012</w:t>
            </w:r>
          </w:p>
        </w:tc>
      </w:tr>
      <w:tr>
        <w:tc>
          <w:tcPr>
            <w:tcW w:w="3120" w:type="dxa"/>
          </w:tcPr>
          <w:p>
            <w:pPr>
              <w:spacing w:after="0"/>
            </w:pPr>
            <w:r>
              <w:rPr>
                <w:rFonts w:ascii="Consolas" w:hAnsi="Consolas"/>
              </w:rPr>
              <w:t xml:space="preserve">JRS-naive</w:t>
            </w:r>
          </w:p>
        </w:tc>
        <w:tc>
          <w:tcPr>
            <w:tcW w:w="3120" w:type="dxa"/>
          </w:tcPr>
          <w:p>
            <w:pPr>
              <w:spacing w:after="0"/>
            </w:pPr>
            <w:r>
              <w:t xml:space="preserve">1</w:t>
            </w:r>
          </w:p>
        </w:tc>
        <w:tc>
          <w:tcPr>
            <w:tcW w:w="3120" w:type="dxa"/>
          </w:tcPr>
          <w:p>
            <w:pPr>
              <w:spacing w:after="0"/>
            </w:pPr>
            <w:r>
              <w:t xml:space="preserve">Study 012, exposure not expertise</w:t>
            </w:r>
          </w:p>
        </w:tc>
      </w:tr>
    </w:tbl>
    <w:p>
      <w:pPr/>
      <w:r>
        <w:t/>
      </w:r>
    </w:p>
    <w:p>
      <w:pPr>
        <w:pStyle w:val="Heading3"/>
        <w:spacing w:after="140"/>
      </w:pPr>
      <w:r>
        <w:t xml:space="preserve">Numerals verified against their population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Numeral</w:t>
            </w:r>
          </w:p>
        </w:tc>
        <w:tc>
          <w:tcPr>
            <w:tcW w:w="3120" w:type="dxa"/>
          </w:tcPr>
          <w:p>
            <w:pPr>
              <w:spacing w:after="0"/>
            </w:pPr>
            <w:r>
              <w:t xml:space="preserve">Population</w:t>
            </w:r>
          </w:p>
        </w:tc>
        <w:tc>
          <w:tcPr>
            <w:tcW w:w="3120" w:type="dxa"/>
          </w:tcPr>
          <w:p>
            <w:pPr>
              <w:spacing w:after="0"/>
            </w:pPr>
            <w:r>
              <w:t xml:space="preserve">Occurrences</w:t>
            </w:r>
          </w:p>
        </w:tc>
      </w:tr>
      <w:tr>
        <w:tc>
          <w:tcPr>
            <w:tcW w:w="3120" w:type="dxa"/>
          </w:tcPr>
          <w:p>
            <w:pPr>
              <w:spacing w:after="0"/>
            </w:pPr>
            <w:r>
              <w:t xml:space="preserve">16</w:t>
            </w:r>
          </w:p>
        </w:tc>
        <w:tc>
          <w:tcPr>
            <w:tcW w:w="3120" w:type="dxa"/>
          </w:tcPr>
          <w:p>
            <w:pPr>
              <w:spacing w:after="0"/>
            </w:pPr>
            <w:r>
              <w:t xml:space="preserve">Study 011, Arm A, detection-panel completers</w:t>
            </w:r>
          </w:p>
        </w:tc>
        <w:tc>
          <w:tcPr>
            <w:tcW w:w="3120" w:type="dxa"/>
          </w:tcPr>
          <w:p>
            <w:pPr>
              <w:spacing w:after="0"/>
            </w:pPr>
            <w:r>
              <w:t xml:space="preserve">12</w:t>
            </w:r>
          </w:p>
        </w:tc>
      </w:tr>
      <w:tr>
        <w:tc>
          <w:tcPr>
            <w:tcW w:w="3120" w:type="dxa"/>
          </w:tcPr>
          <w:p>
            <w:pPr>
              <w:spacing w:after="0"/>
            </w:pPr>
            <w:r>
              <w:t xml:space="preserve">20</w:t>
            </w:r>
          </w:p>
        </w:tc>
        <w:tc>
          <w:tcPr>
            <w:tcW w:w="3120" w:type="dxa"/>
          </w:tcPr>
          <w:p>
            <w:pPr>
              <w:spacing w:after="0"/>
            </w:pPr>
            <w:r>
              <w:t xml:space="preserve">Study 012, Arm B, comparison-study completers</w:t>
            </w:r>
          </w:p>
        </w:tc>
        <w:tc>
          <w:tcPr>
            <w:tcW w:w="3120" w:type="dxa"/>
          </w:tcPr>
          <w:p>
            <w:pPr>
              <w:spacing w:after="0"/>
            </w:pPr>
            <w:r>
              <w:t xml:space="preserve">1</w:t>
            </w:r>
          </w:p>
        </w:tc>
      </w:tr>
      <w:tr>
        <w:tc>
          <w:tcPr>
            <w:tcW w:w="3120" w:type="dxa"/>
          </w:tcPr>
          <w:p>
            <w:pPr>
              <w:spacing w:after="0"/>
            </w:pPr>
            <w:r>
              <w:t xml:space="preserve">25</w:t>
            </w:r>
          </w:p>
        </w:tc>
        <w:tc>
          <w:tcPr>
            <w:tcW w:w="3120" w:type="dxa"/>
          </w:tcPr>
          <w:p>
            <w:pPr>
              <w:spacing w:after="0"/>
            </w:pPr>
            <w:r>
              <w:t xml:space="preserve">Study 004, reliability raters, all instruments</w:t>
            </w:r>
          </w:p>
        </w:tc>
        <w:tc>
          <w:tcPr>
            <w:tcW w:w="3120" w:type="dxa"/>
          </w:tcPr>
          <w:p>
            <w:pPr>
              <w:spacing w:after="0"/>
            </w:pPr>
            <w:r>
              <w:t xml:space="preserve">2</w:t>
            </w:r>
          </w:p>
        </w:tc>
      </w:tr>
      <w:tr>
        <w:tc>
          <w:tcPr>
            <w:tcW w:w="3120" w:type="dxa"/>
          </w:tcPr>
          <w:p>
            <w:pPr>
              <w:spacing w:after="0"/>
            </w:pPr>
            <w:r>
              <w:t xml:space="preserve">22</w:t>
            </w:r>
          </w:p>
        </w:tc>
        <w:tc>
          <w:tcPr>
            <w:tcW w:w="3120" w:type="dxa"/>
          </w:tcPr>
          <w:p>
            <w:pPr>
              <w:spacing w:after="0"/>
            </w:pPr>
            <w:r>
              <w:t xml:space="preserve">Study 004, five-condition analysed sample</w:t>
            </w:r>
          </w:p>
        </w:tc>
        <w:tc>
          <w:tcPr>
            <w:tcW w:w="3120" w:type="dxa"/>
          </w:tcPr>
          <w:p>
            <w:pPr>
              <w:spacing w:after="0"/>
            </w:pPr>
            <w:r>
              <w:t xml:space="preserve">2</w:t>
            </w:r>
          </w:p>
        </w:tc>
      </w:tr>
      <w:tr>
        <w:tc>
          <w:tcPr>
            <w:tcW w:w="3120" w:type="dxa"/>
          </w:tcPr>
          <w:p>
            <w:pPr>
              <w:spacing w:after="0"/>
            </w:pPr>
            <w:r>
              <w:t xml:space="preserve">36</w:t>
            </w:r>
          </w:p>
        </w:tc>
        <w:tc>
          <w:tcPr>
            <w:tcW w:w="3120" w:type="dxa"/>
          </w:tcPr>
          <w:p>
            <w:pPr>
              <w:spacing w:after="0"/>
            </w:pPr>
            <w:r>
              <w:rPr>
                <w:b/>
              </w:rPr>
              <w:t xml:space="preserve">must not appear as a combined panel figure</w:t>
            </w:r>
          </w:p>
        </w:tc>
        <w:tc>
          <w:tcPr>
            <w:tcW w:w="3120" w:type="dxa"/>
          </w:tcPr>
          <w:p>
            <w:pPr>
              <w:spacing w:after="0"/>
            </w:pPr>
            <w:r>
              <w:t xml:space="preserve">0</w:t>
            </w:r>
          </w:p>
        </w:tc>
      </w:tr>
    </w:tbl>
    <w:p>
      <w:pPr/>
      <w:r>
        <w:t/>
      </w:r>
    </w:p>
    <w:p>
      <w:pPr>
        <w:spacing w:after="140"/>
      </w:pPr>
      <w:r>
        <w:rPr>
          <w:b/>
        </w:rPr>
        <w:t xml:space="preserve">No combined 36 figure was created.</w:t>
      </w:r>
      <w:r>
        <w:t xml:space="preserve"> The instruction forbids inventing one from 16 + 20, and the source records show the two arms are not fully disjoint from the Study 004 expert raters in any case: E-09 is V-AI-06, E-12 is V-AI-07, E-13 is V-AI-03 (</w:t>
      </w:r>
      <w:r>
        <w:rPr>
          <w:rFonts w:ascii="Consolas" w:hAnsi="Consolas"/>
        </w:rPr>
        <w:t xml:space="preserve">research/Expert_Roster_All_Studies_2026-08-06.md:73</w:t>
      </w:r>
      <w:r>
        <w:t xml:space="preserve">). The only </w:t>
      </w:r>
      <w:r>
        <w:rPr>
          <w:rFonts w:ascii="Consolas" w:hAnsi="Consolas"/>
        </w:rPr>
        <w:t xml:space="preserve">36</w:t>
      </w:r>
      <w:r>
        <w:t xml:space="preserve"> surviving in the manuscript is the expert label count in the reliability table, which is a label count and not a person count.</w:t>
      </w:r>
    </w:p>
    <w:p>
      <w:pPr>
        <w:pBdr>
          <w:bottom w:val="single" w:sz="6" w:space="1" w:color="AAAAAA"/>
        </w:pBdr>
      </w:pPr>
    </w:p>
    <w:p>
      <w:pPr>
        <w:pStyle w:val="Heading2"/>
        <w:spacing w:after="140"/>
      </w:pPr>
      <w:r>
        <w:t xml:space="preserve">5.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Source</w:t>
            </w:r>
          </w:p>
        </w:tc>
        <w:tc>
          <w:tcPr>
            <w:tcW w:w="3120" w:type="dxa"/>
          </w:tcPr>
          <w:p>
            <w:pPr>
              <w:spacing w:after="0"/>
            </w:pPr>
            <w:r>
              <w:t xml:space="preserve">Submission final</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181</w:t>
            </w:r>
          </w:p>
        </w:tc>
        <w:tc>
          <w:tcPr>
            <w:tcW w:w="3120" w:type="dxa"/>
          </w:tcPr>
          <w:p>
            <w:pPr>
              <w:spacing w:after="0"/>
            </w:pPr>
            <w:r>
              <w:t xml:space="preserve">182</w:t>
            </w:r>
          </w:p>
        </w:tc>
      </w:tr>
      <w:tr>
        <w:tc>
          <w:tcPr>
            <w:tcW w:w="3120" w:type="dxa"/>
          </w:tcPr>
          <w:p>
            <w:pPr>
              <w:spacing w:after="0"/>
            </w:pPr>
            <w:r>
              <w:t xml:space="preserve">Paragraph delta</w:t>
            </w:r>
          </w:p>
        </w:tc>
        <w:tc>
          <w:tcPr>
            <w:tcW w:w="3120" w:type="dxa"/>
          </w:tcPr>
          <w:p>
            <w:pPr>
              <w:spacing w:after="0"/>
            </w:pPr>
            <w:r>
              <w:t xml:space="preserve">0</w:t>
            </w:r>
          </w:p>
        </w:tc>
        <w:tc>
          <w:tcPr>
            <w:tcW w:w="3120" w:type="dxa"/>
          </w:tcPr>
          <w:p>
            <w:pPr>
              <w:spacing w:after="0"/>
            </w:pPr>
            <w:r>
              <w:t xml:space="preserve">+1, being the one paragraph Edit 3 inserts</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11801</w:t>
            </w:r>
          </w:p>
        </w:tc>
        <w:tc>
          <w:tcPr>
            <w:tcW w:w="3120" w:type="dxa"/>
          </w:tcPr>
          <w:p>
            <w:pPr>
              <w:spacing w:after="0"/>
            </w:pPr>
            <w:r>
              <w:t xml:space="preserve">11868</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the source</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Section 1</w:t>
            </w:r>
          </w:p>
        </w:tc>
        <w:tc>
          <w:tcPr>
            <w:tcW w:w="4680" w:type="dxa"/>
          </w:tcPr>
          <w:p>
            <w:pPr>
              <w:spacing w:after="0"/>
            </w:pPr>
            <w:r>
              <w:t xml:space="preserve">Edit 7 only</w:t>
            </w:r>
          </w:p>
        </w:tc>
      </w:tr>
      <w:tr>
        <w:tc>
          <w:tcPr>
            <w:tcW w:w="4680" w:type="dxa"/>
          </w:tcPr>
          <w:p>
            <w:pPr>
              <w:spacing w:after="0"/>
            </w:pPr>
            <w:r>
              <w:t xml:space="preserve">Section 4.7</w:t>
            </w:r>
          </w:p>
        </w:tc>
        <w:tc>
          <w:tcPr>
            <w:tcW w:w="4680" w:type="dxa"/>
          </w:tcPr>
          <w:p>
            <w:pPr>
              <w:spacing w:after="0"/>
            </w:pPr>
            <w:r>
              <w:t xml:space="preserve">Edit 2 only</w:t>
            </w:r>
          </w:p>
        </w:tc>
      </w:tr>
      <w:tr>
        <w:tc>
          <w:tcPr>
            <w:tcW w:w="4680" w:type="dxa"/>
          </w:tcPr>
          <w:p>
            <w:pPr>
              <w:spacing w:after="0"/>
            </w:pPr>
            <w:r>
              <w:t xml:space="preserve">Section 6.5</w:t>
            </w:r>
          </w:p>
        </w:tc>
        <w:tc>
          <w:tcPr>
            <w:tcW w:w="4680" w:type="dxa"/>
          </w:tcPr>
          <w:p>
            <w:pPr>
              <w:spacing w:after="0"/>
            </w:pPr>
            <w:r>
              <w:t xml:space="preserve">Edit 3 only</w:t>
            </w:r>
          </w:p>
        </w:tc>
      </w:tr>
      <w:tr>
        <w:tc>
          <w:tcPr>
            <w:tcW w:w="4680" w:type="dxa"/>
          </w:tcPr>
          <w:p>
            <w:pPr>
              <w:spacing w:after="0"/>
            </w:pPr>
            <w:r>
              <w:t xml:space="preserve">Section 7</w:t>
            </w:r>
          </w:p>
        </w:tc>
        <w:tc>
          <w:tcPr>
            <w:tcW w:w="4680" w:type="dxa"/>
          </w:tcPr>
          <w:p>
            <w:pPr>
              <w:spacing w:after="0"/>
            </w:pPr>
            <w:r>
              <w:t xml:space="preserve">Edit 8 only</w:t>
            </w:r>
          </w:p>
        </w:tc>
      </w:tr>
      <w:tr>
        <w:tc>
          <w:tcPr>
            <w:tcW w:w="4680" w:type="dxa"/>
          </w:tcPr>
          <w:p>
            <w:pPr>
              <w:spacing w:after="0"/>
            </w:pPr>
            <w:r>
              <w:t xml:space="preserve">Section 9</w:t>
            </w:r>
          </w:p>
        </w:tc>
        <w:tc>
          <w:tcPr>
            <w:tcW w:w="4680" w:type="dxa"/>
          </w:tcPr>
          <w:p>
            <w:pPr>
              <w:spacing w:after="0"/>
            </w:pPr>
            <w:r>
              <w:t xml:space="preserve">Edit 1 only</w:t>
            </w:r>
          </w:p>
        </w:tc>
      </w:tr>
    </w:tbl>
    <w:p>
      <w:pPr/>
      <w:r>
        <w:t/>
      </w:r>
    </w:p>
    <w:p>
      <w:pPr>
        <w:spacing w:after="140"/>
      </w:pPr>
      <w:r>
        <w:t xml:space="preserve">No section was deleted, no reference altered, no citation changed. The table-row count is identical, so no table was damaged, and the reliability table itself is byte-identical: Edit 3 inserts a paragraph above it and changes no cell. The source is plain Markdown and the </w:t>
      </w:r>
      <w:r>
        <w:rPr>
          <w:rFonts w:ascii="Consolas" w:hAnsi="Consolas"/>
        </w:rPr>
        <w:t xml:space="preserve">.docx</w:t>
      </w:r>
      <w:r>
        <w:t xml:space="preserve"> is generated from it, so no tracked change and no comment can be introduced. The Acknowledgments are byte-identical, which is how the no-duplication requirement in Edit 3 is enforced rather than asserted.</w:t>
      </w:r>
    </w:p>
    <w:p>
      <w:pPr>
        <w:spacing w:after="140"/>
      </w:pPr>
      <w:r>
        <w:rPr>
          <w:b/>
        </w:rPr>
        <w:t xml:space="preserve">Document integrity: PASS</w:t>
      </w:r>
    </w:p>
    <w:p>
      <w:pPr>
        <w:pBdr>
          <w:bottom w:val="single" w:sz="6" w:space="1" w:color="AAAAAA"/>
        </w:pBdr>
      </w:pPr>
    </w:p>
    <w:p>
      <w:pPr>
        <w:spacing w:after="140"/>
      </w:pPr>
      <w:r>
        <w:t xml:space="preserve">"Submission-final editorial pass completed. Five sentences changed, four for population clarity and claim boundary and one inserting the analysed reliability denominator into the Results. No primary detection result, reliability statistic, preregistered threshold, corpus composition, study design, arm architecture, limitation, reference or table cell was changed. No claim was strengthened."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