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Chief FOIA Officers Council correspondence, send copy</w:t>
      </w:r>
    </w:p>
    <w:p>
      <w:pPr>
        <w:spacing w:after="140"/>
      </w:pPr>
      <w:r>
        <w:t xml:space="preserve">Two emails, sent by Stacyann Young.</w:t>
      </w:r>
    </w:p>
    <w:p>
      <w:pPr>
        <w:pBdr>
          <w:bottom w:val="single" w:sz="6" w:space="1" w:color="AAAAAA"/>
        </w:pBdr>
      </w:pPr>
    </w:p>
    <w:p>
      <w:pPr>
        <w:pStyle w:val="Heading2"/>
        <w:spacing w:after="140"/>
      </w:pPr>
      <w:r>
        <w:t xml:space="preserve">Email 1 of 2</w:t>
      </w:r>
    </w:p>
    <w:p>
      <w:pPr>
        <w:spacing w:after="140"/>
      </w:pPr>
      <w:r>
        <w:rPr>
          <w:b/>
        </w:rPr>
        <w:t xml:space="preserve">To:</w:t>
      </w:r>
      <w:r>
        <w:t xml:space="preserve"> jeremy.frazier@sol.doi.gov</w:t>
      </w:r>
    </w:p>
    <w:p>
      <w:pPr>
        <w:spacing w:after="140"/>
      </w:pPr>
      <w:r>
        <w:rPr>
          <w:b/>
        </w:rPr>
        <w:t xml:space="preserve">Subject:</w:t>
      </w:r>
      <w:r>
        <w:t xml:space="preserve"> Documentation-quality data that may be useful alongside the FOIA technology inventory</w:t>
      </w:r>
    </w:p>
    <w:p>
      <w:pPr>
        <w:spacing w:after="140"/>
      </w:pPr>
      <w:r>
        <w:t xml:space="preserve">Dear Dr. Frazier,</w:t>
      </w:r>
    </w:p>
    <w:p>
      <w:pPr>
        <w:spacing w:after="140"/>
      </w:pPr>
      <w:r>
        <w:t xml:space="preserve">I have more than 20 years of experience working in New York City government, including extensive experience in public records access, FOIL administration, records management, and document review. My work has included reviewing records for disclosure, applying statutory exemptions, developing records access procedures, and working with complex public records requests. That experience informed my interest in examining whether the reasoning behind records access decisions can be reconstructed from the records themselves.</w:t>
      </w:r>
    </w:p>
    <w:p>
      <w:pPr>
        <w:spacing w:after="140"/>
      </w:pPr>
      <w:r>
        <w:t xml:space="preserve">I am writing in my personal professional capacity about the inventory of FOIA technology solutions described in the Council's 28 May memorandum. I have just completed a study that sits directly alongside it and that may be useful as the inventory takes shape. This research was conducted independently using publicly available materials and does not represent the views, policies, or practices of the City of New York, any City agency, or any other government entity. No internal or nonpublic government materials were used.</w:t>
      </w:r>
    </w:p>
    <w:p>
      <w:pPr>
        <w:spacing w:after="140"/>
      </w:pPr>
      <w:r>
        <w:t xml:space="preserve">The inventory answers what tools agencies use. The study asks a companion question: whether the determinations coming out of those tools remain independently reviewable. Two agencies can run the same case-management system and produce determinations of very different defensibility, and nothing in a technology inventory would show the difference.</w:t>
      </w:r>
    </w:p>
    <w:p>
      <w:pPr>
        <w:spacing w:after="140"/>
      </w:pPr>
      <w:r>
        <w:t xml:space="preserve">The study applies a structured read of the record itself, without regard to which system produced it, to 32 publicly available public-records cases: New York appellate and trial decisions, Committee on Open Government advisory opinions, Connecticut Freedom of Information Commission final decisions, and compliance audits from the New York State Comptroller and the New York City Comptroller. Each case was assessed from the source alone, before the documented outcome was consulted, and the assessment was recorded with a contemporaneous written basis.</w:t>
      </w:r>
    </w:p>
    <w:p>
      <w:pPr>
        <w:spacing w:after="140"/>
      </w:pPr>
      <w:r>
        <w:t xml:space="preserve">Three findings may be relevant to the Council's work.</w:t>
      </w:r>
    </w:p>
    <w:p>
      <w:pPr>
        <w:spacing w:after="140"/>
      </w:pPr>
      <w:r>
        <w:t xml:space="preserve">The read agreed with independent government auditors in every case where both existed. All five compliance audits in the set received a Gap read, and in all five the auditor had separately recorded that the agency could not evidence its own FOIL responses: tracking was missing or incomplete, records of what had been provided were missing, and in two audits the auditor expressly stated that it could not determine whether the necessary information had been supplied.</w:t>
      </w:r>
    </w:p>
    <w:p>
      <w:pPr>
        <w:spacing w:after="140"/>
      </w:pPr>
      <w:r>
        <w:t xml:space="preserve">The read was driven by whether the underlying basis could be rebuilt from the source, not by whether the agency won. Among the seven Needs work cases carrying a contemporaneous basis note, six state that the underlying record-level basis could not be rebuilt from the source, against none of the 17 noted Ready cases (Fisher's exact, two-sided, p = 0.0000520).</w:t>
      </w:r>
    </w:p>
    <w:p>
      <w:pPr>
        <w:spacing w:after="140"/>
      </w:pPr>
      <w:r>
        <w:t xml:space="preserve">The read also separated document types by how much reconstructable basis they expose. Sources that reproduce the determination text read Ready in six of seven cases; sources that assessed underlying records in camera or in aggregate read Ready in none of seven (p = 0.00466).</w:t>
      </w:r>
    </w:p>
    <w:p>
      <w:pPr>
        <w:spacing w:after="140"/>
      </w:pPr>
      <w:r>
        <w:t xml:space="preserve">A fourth analysis found no relationship between the read and whether an agency prevailed on appeal, with Fisher's exact p = 1.000. The study treats that as a specification check rather than as a failure of the instrument, because reconstructability and appellate disposition measure different things and published decisions are selected for contested legal questions.</w:t>
      </w:r>
    </w:p>
    <w:p>
      <w:pPr>
        <w:spacing w:after="140"/>
      </w:pPr>
      <w:r>
        <w:t xml:space="preserve">The same instrument has also been applied in a separate employment-law corpus that is not filtered by publication practice. In that corpus, 6 of 8 records read as Needs work or Gap drew an adverse finding, compared with 2 of 12 records read as Ready (p = 0.0194). A separate resolved-disposition analysis in that corpus produces p = 0.0291. That observation is reported here only as a boundary-condition test and is not part of the present 32-case study.</w:t>
      </w:r>
    </w:p>
    <w:p>
      <w:pPr>
        <w:spacing w:after="140"/>
      </w:pPr>
      <w:r>
        <w:t xml:space="preserve">The practical point for the inventory is narrow. A documentation-quality sample is inexpensive, runs on records an agency already has, requires no new software, and measures something an inventory cannot see: whether the resulting record holds up when someone reads it cold. If a measure of that kind would be useful as a companion to the technology data you are collecting, I would be glad to share the protocol, the case set with citations, and the analysis, and to answer questions from you or your staff.</w:t>
      </w:r>
    </w:p>
    <w:p>
      <w:pPr>
        <w:spacing w:after="140"/>
      </w:pPr>
      <w:r>
        <w:t xml:space="preserve">The manuscript is being submitted for publication.</w:t>
      </w:r>
    </w:p>
    <w:p>
      <w:pPr>
        <w:spacing w:after="140"/>
      </w:pPr>
      <w:r>
        <w:t xml:space="preserve">With respect,</w:t>
      </w:r>
    </w:p>
    <w:p>
      <w:pPr>
        <w:spacing w:after="140"/>
      </w:pPr>
      <w:r>
        <w:t xml:space="preserve">Stacyann Young Independent Researcher</w:t>
      </w:r>
    </w:p>
    <w:p>
      <w:pPr>
        <w:pBdr>
          <w:bottom w:val="single" w:sz="6" w:space="1" w:color="AAAAAA"/>
        </w:pBdr>
      </w:pPr>
    </w:p>
    <w:p>
      <w:pPr>
        <w:pStyle w:val="Heading2"/>
        <w:spacing w:after="140"/>
      </w:pPr>
      <w:r>
        <w:t xml:space="preserve">Email 2 of 2</w:t>
      </w:r>
    </w:p>
    <w:p>
      <w:pPr>
        <w:spacing w:after="140"/>
      </w:pPr>
      <w:r>
        <w:rPr>
          <w:b/>
        </w:rPr>
        <w:t xml:space="preserve">To:</w:t>
      </w:r>
      <w:r>
        <w:t xml:space="preserve"> CFOCouncil@nara.gov</w:t>
      </w:r>
    </w:p>
    <w:p>
      <w:pPr>
        <w:spacing w:after="140"/>
      </w:pPr>
      <w:r>
        <w:rPr>
          <w:b/>
        </w:rPr>
        <w:t xml:space="preserve">Subject:</w:t>
      </w:r>
      <w:r>
        <w:t xml:space="preserve"> Volunteer interest, Technology Committee</w:t>
      </w:r>
    </w:p>
    <w:p>
      <w:pPr>
        <w:spacing w:after="140"/>
      </w:pPr>
      <w:r>
        <w:t xml:space="preserve">Dear Co-Chairs,</w:t>
      </w:r>
    </w:p>
    <w:p>
      <w:pPr>
        <w:spacing w:after="140"/>
      </w:pPr>
      <w:r>
        <w:t xml:space="preserve">I am writing in response to the Council's 28 May memorandum seeking volunteers, to express interest in the Technology Committee, and secondarily in the Committee on Cross-Agency Collaboration and Innovation.</w:t>
      </w:r>
    </w:p>
    <w:p>
      <w:pPr>
        <w:spacing w:after="140"/>
      </w:pPr>
      <w:r>
        <w:t xml:space="preserve">I have more than 20 years of experience working in New York City government, including extensive experience in public records access, FOIL administration, records management, and document review. My work has included reviewing records for disclosure, applying statutory exemptions, developing records access procedures, and working with complex public records requests, and I hold professional certifications through SUNY and the New York State Archives.</w:t>
      </w:r>
    </w:p>
    <w:p>
      <w:pPr>
        <w:spacing w:after="140"/>
      </w:pPr>
      <w:r>
        <w:t xml:space="preserve">I am writing in my personal professional capacity. My research work is conducted independently using publicly available materials and does not represent the views, policies, or practices of the City of New York, any City agency, or any other government entity. No internal or nonpublic government materials were used.</w:t>
      </w:r>
    </w:p>
    <w:p>
      <w:pPr>
        <w:spacing w:after="140"/>
      </w:pPr>
      <w:r>
        <w:t xml:space="preserve">I have just completed an empirical study of documentation quality in public-records determinations, covering 32 publicly available cases across court decisions, open-government advisory opinions, state commission decisions, and Comptroller compliance audits, with decisions spanning 2005 to 2026. The central result is that a structured record-level read agreed with independent government auditors in every case where both assessments existed, five of five. The manuscript is being submitted for publication, and a separate study in a second domain finds an association between the same read and documented outcome.</w:t>
      </w:r>
    </w:p>
    <w:p>
      <w:pPr>
        <w:spacing w:after="140"/>
      </w:pPr>
      <w:r>
        <w:t xml:space="preserve">What I would bring to the Technology Committee is the perspective that sits next to the technology question rather than inside it: whether the determinations produced through any given system remain independently reviewable and defensible after the fact. As the Council builds its inventory of FOIA technology solutions, that companion measure seems worth having in the room, and I would be glad to contribute it alongside two decades of operational experience in municipal public-records administration.</w:t>
      </w:r>
    </w:p>
    <w:p>
      <w:pPr>
        <w:spacing w:after="140"/>
      </w:pPr>
      <w:r>
        <w:t xml:space="preserve">I can attend monthly meetings and take on interim individual or small-group work.</w:t>
      </w:r>
    </w:p>
    <w:p>
      <w:pPr>
        <w:spacing w:after="140"/>
      </w:pPr>
      <w:r>
        <w:t xml:space="preserve">Thank you for the opportunity.</w:t>
      </w:r>
    </w:p>
    <w:p>
      <w:pPr>
        <w:spacing w:after="140"/>
      </w:pPr>
      <w:r>
        <w:t xml:space="preserve">Stacyann Young Independent Researcher</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