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Tables for: Can Public-Records Determinations Be Independently Reconstructed? Evidence from 32 Public Cases</w:t>
      </w:r>
    </w:p>
    <w:p>
      <w:r>
        <w:rPr>
          <w:rFonts w:ascii="Cambria" w:hAnsi="Cambria"/>
          <w:b/>
          <w:sz w:val="20"/>
        </w:rPr>
        <w:t>Table 1. Contemporaneous basis notes stating a reconstructability failure, by read</w:t>
      </w:r>
    </w:p>
    <w:p>
      <w:r>
        <w:rPr>
          <w:rFonts w:ascii="Cambria" w:hAnsi="Cambria"/>
          <w:i/>
          <w:sz w:val="16"/>
        </w:rPr>
        <w:t>Note: Fisher’s exact test, two-sided, p = 0.0000520. Coding is post hoc. Source: developed by the authors.</w:t>
      </w:r>
    </w:p>
    <w:p>
      <w:r>
        <w:rPr>
          <w:rFonts w:ascii="Cambria" w:hAnsi="Cambria"/>
          <w:b/>
          <w:sz w:val="20"/>
        </w:rPr>
        <w:t>Table 2. Read by whether the source exposes the determination text</w:t>
      </w:r>
    </w:p>
    <w:p>
      <w:r>
        <w:rPr>
          <w:rFonts w:ascii="Cambria" w:hAnsi="Cambria"/>
          <w:i/>
          <w:sz w:val="16"/>
        </w:rPr>
        <w:t>Note: Fisher’s exact test, two-sided, p = 0.00466. The second row comprises the 2 Connecticut decisions and the 5 audits. Source: developed by the authors.</w:t>
      </w:r>
    </w:p>
    <w:p>
      <w:r>
        <w:rPr>
          <w:rFonts w:ascii="Cambria" w:hAnsi="Cambria"/>
          <w:b/>
          <w:sz w:val="20"/>
        </w:rPr>
        <w:t>Table 3. Read by appellate disposition</w:t>
      </w:r>
    </w:p>
    <w:p>
      <w:r>
        <w:rPr>
          <w:rFonts w:ascii="Cambria" w:hAnsi="Cambria"/>
          <w:i/>
          <w:sz w:val="16"/>
        </w:rPr>
        <w:t>Note: Odds ratio 0.75; Fisher’s exact test, two-sided, p = 1.000. Source: developed by the authors.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Failure stated (cases)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Not stated (cases)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Rate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Needs work (n =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85.7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Ready (n = 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0.0</w:t>
            </w:r>
          </w:p>
        </w:tc>
      </w:tr>
    </w:tbl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Source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Ready (cases)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Not Ready (cases)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Reproduces the determination text (n =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Assessed the records in camera or in aggregate (n =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7</w:t>
            </w:r>
          </w:p>
        </w:tc>
      </w:tr>
    </w:tbl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Sustained (cases)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Did not survive (cases)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Sustained rate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23.1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Needs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mbria" w:hAnsi="Cambria"/>
                <w:sz w:val="18"/>
              </w:rPr>
              <w:t xml:space="preserve">28.6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