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before="260"/>
      </w:pPr>
      <w:r>
        <w:rPr>
          <w:rFonts w:ascii="Times New Roman" w:cs="Times New Roman" w:eastAsia="Times New Roman" w:hAnsi="Times New Roman"/>
          <w:b/>
          <w:bCs/>
          <w:i w:val="false"/>
          <w:iCs w:val="false"/>
          <w:sz w:val="32"/>
          <w:szCs w:val="32"/>
        </w:rPr>
        <w:t xml:space="preserve">The Evidentiary Deficit in AI-Assisted Record-Keeping</w:t>
      </w:r>
    </w:p>
    <w:p>
      <w:pPr>
        <w:spacing w:after="150" w:line="276"/>
      </w:pPr>
      <w:r>
        <w:rPr>
          <w:rFonts w:ascii="Times New Roman" w:cs="Times New Roman" w:eastAsia="Times New Roman" w:hAnsi="Times New Roman"/>
          <w:i/>
          <w:iCs/>
          <w:sz w:val="24"/>
          <w:szCs w:val="24"/>
        </w:rPr>
        <w:t xml:space="preserve">Why AI-assisted records that cannot explain themselves have become a transatlantic governance problem, and what accountable documentation now requires.</w:t>
      </w:r>
    </w:p>
    <w:p>
      <w:pPr>
        <w:spacing w:after="150" w:line="276"/>
      </w:pPr>
      <w:r>
        <w:rPr>
          <w:rFonts w:ascii="Times New Roman" w:cs="Times New Roman" w:eastAsia="Times New Roman" w:hAnsi="Times New Roman"/>
          <w:sz w:val="24"/>
          <w:szCs w:val="24"/>
        </w:rPr>
        <w:t xml:space="preserve">By Gabriela Zanfir-Fortuna and Phillip Wikes</w:t>
      </w:r>
    </w:p>
    <w:p>
      <w:pPr>
        <w:spacing w:after="150" w:line="276"/>
      </w:pPr>
      <w:r>
        <w:rPr>
          <w:rFonts w:ascii="Times New Roman" w:cs="Times New Roman" w:eastAsia="Times New Roman" w:hAnsi="Times New Roman"/>
          <w:i/>
          <w:iCs/>
          <w:sz w:val="24"/>
          <w:szCs w:val="24"/>
        </w:rPr>
        <w:t xml:space="preserve">Gabriela Zanfir-Fortuna, PhD, Vice President for Global Privacy at the Future of Privacy Forum, formerly of the European Data Protection Supervisor, writing on global data-protection law and accountability. Phillip Wikes, AI Governance and Cognitive Risk Advisor, former Lead Civil Rights Officer, Maryland Commission on Civil Rights.</w:t>
      </w:r>
    </w:p>
    <w:p>
      <w:pPr>
        <w:spacing w:after="130" w:before="180"/>
      </w:pPr>
      <w:r>
        <w:rPr>
          <w:rFonts w:ascii="Times New Roman" w:cs="Times New Roman" w:eastAsia="Times New Roman" w:hAnsi="Times New Roman"/>
          <w:b/>
          <w:bCs/>
          <w:i w:val="false"/>
          <w:iCs w:val="false"/>
          <w:sz w:val="26"/>
          <w:szCs w:val="26"/>
        </w:rPr>
        <w:t xml:space="preserve">I. Introduction</w:t>
      </w:r>
    </w:p>
    <w:p>
      <w:pPr>
        <w:spacing w:after="150" w:line="276"/>
      </w:pPr>
      <w:r>
        <w:rPr>
          <w:rFonts w:ascii="Times New Roman" w:cs="Times New Roman" w:eastAsia="Times New Roman" w:hAnsi="Times New Roman"/>
          <w:sz w:val="24"/>
          <w:szCs w:val="24"/>
        </w:rPr>
        <w:t xml:space="preserve">A record is a kind of promise. It tells whoever reads it later, a regulator, a court, a colleague, the person whose life it describes, that a decision was made for reasons that can be examined. When artificial intelligence drafts the record, that promise is easy to break without anyone noticing. The text looks complete. The reasoning behind it may already be gone.</w:t>
      </w:r>
    </w:p>
    <w:p>
      <w:pPr>
        <w:spacing w:after="150" w:line="276"/>
      </w:pPr>
      <w:r>
        <w:rPr>
          <w:rFonts w:ascii="Times New Roman" w:cs="Times New Roman" w:eastAsia="Times New Roman" w:hAnsi="Times New Roman"/>
          <w:sz w:val="24"/>
          <w:szCs w:val="24"/>
        </w:rPr>
        <w:t xml:space="preserve">Every consequential decision is eventually questioned. The only uncertainty is whether the record will still be capable of explaining and defending it.</w:t>
      </w:r>
    </w:p>
    <w:p>
      <w:pPr>
        <w:spacing w:after="150" w:line="276"/>
      </w:pPr>
      <w:r>
        <w:rPr>
          <w:rFonts w:ascii="Times New Roman" w:cs="Times New Roman" w:eastAsia="Times New Roman" w:hAnsi="Times New Roman"/>
          <w:sz w:val="24"/>
          <w:szCs w:val="24"/>
        </w:rPr>
        <w:t xml:space="preserve">This failure has a name we use throughout: Decision Reconstruction Risk (DRR), the condition in which a record cannot independently explain why a consequential decision was made. It is not a technology problem in the usual sense. It is an accountability problem, and accountability is where law, ethics, and trust meet. DRR is not simply a documentation problem. It is a governance failure: when the reasoning behind a consequential decision can no longer be independently reconstructed, accountability shifts from contemporaneous evidence to memory, opinion, or institutional credibility, which is precisely the condition modern governance seeks to avoid.</w:t>
      </w:r>
    </w:p>
    <w:p>
      <w:pPr>
        <w:spacing w:after="150" w:line="276"/>
      </w:pPr>
      <w:r>
        <w:rPr>
          <w:rFonts w:ascii="Times New Roman" w:cs="Times New Roman" w:eastAsia="Times New Roman" w:hAnsi="Times New Roman"/>
          <w:sz w:val="24"/>
          <w:szCs w:val="24"/>
        </w:rPr>
        <w:t xml:space="preserve">One of us spent more than a decade reading such records after the fact, for a civil rights agency, and saw the same pattern repeat: the decision was often sound, and the record could not show why. The other has spent a career at the center of data-protection law across Europe and the United States, in enforcement, in litigation before the Court of Justice of the European Union, and in scholarship on the rights of the person a record describes. From both vantage points the conclusion is the same. As AI drafts more of the documents behind consequential decisions, the evidence that would let anyone reconstruct those decisions is quietly disappearing.</w:t>
      </w:r>
    </w:p>
    <w:p>
      <w:pPr>
        <w:spacing w:after="150" w:line="276"/>
      </w:pPr>
      <w:r>
        <w:rPr>
          <w:rFonts w:ascii="Times New Roman" w:cs="Times New Roman" w:eastAsia="Times New Roman" w:hAnsi="Times New Roman"/>
          <w:sz w:val="24"/>
          <w:szCs w:val="24"/>
        </w:rPr>
        <w:t xml:space="preserve">We write from both European and United States perspectives, because the exposure is now transatlantic. In Europe, the accountability principle at the heart of the GDPR and the record-keeping expectations of the EU AI Act ask organizations to show, not merely assert, how a decision was reached. In the United States, the same gap surfaces in discovery and in the burden-shifting tests that decide employment and housing disputes. The legal vocabulary differs. The underlying demand is the same: a record must be able to answer for itself.</w:t>
      </w:r>
    </w:p>
    <w:p>
      <w:pPr>
        <w:spacing w:after="150" w:line="276"/>
      </w:pPr>
      <w:r>
        <w:rPr>
          <w:rFonts w:ascii="Times New Roman" w:cs="Times New Roman" w:eastAsia="Times New Roman" w:hAnsi="Times New Roman"/>
          <w:sz w:val="24"/>
          <w:szCs w:val="24"/>
        </w:rPr>
        <w:t xml:space="preserve">AI-assisted documentation should be treated as presumptively reviewable, whether by a regulator, an auditor, or a court. The most practical moment to meet that standard is before the record is finalized.</w:t>
      </w:r>
    </w:p>
    <w:p>
      <w:pPr>
        <w:spacing w:after="130" w:before="180"/>
      </w:pPr>
      <w:r>
        <w:rPr>
          <w:rFonts w:ascii="Times New Roman" w:cs="Times New Roman" w:eastAsia="Times New Roman" w:hAnsi="Times New Roman"/>
          <w:b/>
          <w:bCs/>
          <w:i w:val="false"/>
          <w:iCs w:val="false"/>
          <w:sz w:val="26"/>
          <w:szCs w:val="26"/>
        </w:rPr>
        <w:t xml:space="preserve">II. Documentation as Legal Evidence</w:t>
      </w:r>
    </w:p>
    <w:p>
      <w:pPr>
        <w:spacing w:after="150" w:line="276"/>
      </w:pPr>
      <w:r>
        <w:rPr>
          <w:rFonts w:ascii="Times New Roman" w:cs="Times New Roman" w:eastAsia="Times New Roman" w:hAnsi="Times New Roman"/>
          <w:sz w:val="24"/>
          <w:szCs w:val="24"/>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50" w:line="276"/>
      </w:pPr>
      <w:r>
        <w:rPr>
          <w:rFonts w:ascii="Times New Roman" w:cs="Times New Roman" w:eastAsia="Times New Roman" w:hAnsi="Times New Roman"/>
          <w:sz w:val="24"/>
          <w:szCs w:val="24"/>
        </w:rPr>
        <w:t xml:space="preserve">The burden-shifting analysis in McDonnell Douglas Corp. v. Green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50" w:line="276"/>
      </w:pPr>
      <w:r>
        <w:rPr>
          <w:rFonts w:ascii="Times New Roman" w:cs="Times New Roman" w:eastAsia="Times New Roman" w:hAnsi="Times New Roman"/>
          <w:sz w:val="24"/>
          <w:szCs w:val="24"/>
        </w:rPr>
        <w:t xml:space="preserve">A legally defensible record must do more than state a conclusion. It has to show the factual basis behind that conclusion. When the documentation cannot substantiate the reasoning it claims to reflect, the organization loses the very evidence it needs to defend the decision.</w:t>
      </w:r>
    </w:p>
    <w:p>
      <w:pPr>
        <w:spacing w:after="150" w:line="276"/>
      </w:pPr>
      <w:r>
        <w:rPr>
          <w:rFonts w:ascii="Times New Roman" w:cs="Times New Roman" w:eastAsia="Times New Roman" w:hAnsi="Times New Roman"/>
          <w:sz w:val="24"/>
          <w:szCs w:val="24"/>
        </w:rPr>
        <w:t xml:space="preserve">Reconstructability serves public interests as much as organizational ones. It preserves an affected person's ability to understand how a decision was reached, and it gives reviewers, courts, regulators, and oversight bodies an evidentiary basis for independent evaluation. A well-supported record survives many forms of scrutiny, internal review, complaint investigation, regulatory examination, discovery, judicial proceedings, and later historical review, while a poorly supported one may fail each of them even when the underlying decision was sound.</w:t>
      </w:r>
    </w:p>
    <w:p>
      <w:pPr>
        <w:spacing w:after="130" w:before="180"/>
      </w:pPr>
      <w:r>
        <w:rPr>
          <w:rFonts w:ascii="Times New Roman" w:cs="Times New Roman" w:eastAsia="Times New Roman" w:hAnsi="Times New Roman"/>
          <w:b/>
          <w:bCs/>
          <w:i w:val="false"/>
          <w:iCs w:val="false"/>
          <w:sz w:val="26"/>
          <w:szCs w:val="26"/>
        </w:rPr>
        <w:t xml:space="preserve">III. How AI-Assisted Records Fail in Practice</w:t>
      </w:r>
    </w:p>
    <w:p>
      <w:pPr>
        <w:spacing w:after="150" w:line="276"/>
      </w:pPr>
      <w:r>
        <w:rPr>
          <w:rFonts w:ascii="Times New Roman" w:cs="Times New Roman" w:eastAsia="Times New Roman" w:hAnsi="Times New Roman"/>
          <w:sz w:val="24"/>
          <w:szCs w:val="24"/>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50" w:line="276"/>
      </w:pPr>
      <w:r>
        <w:rPr>
          <w:rFonts w:ascii="Times New Roman" w:cs="Times New Roman" w:eastAsia="Times New Roman" w:hAnsi="Times New Roman"/>
          <w:sz w:val="24"/>
          <w:szCs w:val="24"/>
        </w:rPr>
        <w:t xml:space="preserve">When the same tool generates both the narrative and its supporting justification, the record becomes self-referential and can be functionally indistinguishable from post hoc rationalization. Consider a manager who prompts the model to draft a termination justification, then prompts the same model to supply the supporting facts. The resulting file is internally consistent but cannot be tied to independent evidence. In discovery, unsupported assertions are treated as post hoc rationalization, particularly where the drafting record shows AI-generated narrative being introduced after the underlying decision was already made.</w:t>
      </w:r>
    </w:p>
    <w:p>
      <w:pPr>
        <w:spacing w:after="150" w:line="276"/>
      </w:pPr>
      <w:r>
        <w:rPr>
          <w:rFonts w:ascii="Times New Roman" w:cs="Times New Roman" w:eastAsia="Times New Roman" w:hAnsi="Times New Roman"/>
          <w:sz w:val="24"/>
          <w:szCs w:val="24"/>
        </w:rPr>
        <w:t xml:space="preserve">A defensible record requires that every material assertion can be traced to contemporaneous evidence.</w:t>
      </w:r>
    </w:p>
    <w:p>
      <w:pPr>
        <w:spacing w:after="130" w:before="180"/>
      </w:pPr>
      <w:r>
        <w:rPr>
          <w:rFonts w:ascii="Times New Roman" w:cs="Times New Roman" w:eastAsia="Times New Roman" w:hAnsi="Times New Roman"/>
          <w:b/>
          <w:bCs/>
          <w:i w:val="false"/>
          <w:iCs w:val="false"/>
          <w:sz w:val="26"/>
          <w:szCs w:val="26"/>
        </w:rPr>
        <w:t xml:space="preserve">IV. Pattern Risk and Proxy Language</w:t>
      </w:r>
    </w:p>
    <w:p>
      <w:pPr>
        <w:spacing w:after="150" w:line="276"/>
      </w:pPr>
      <w:r>
        <w:rPr>
          <w:rFonts w:ascii="Times New Roman" w:cs="Times New Roman" w:eastAsia="Times New Roman" w:hAnsi="Times New Roman"/>
          <w:sz w:val="24"/>
          <w:szCs w:val="24"/>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Because the risk lives in the aggregate, it can pass every individual review and become visible only when records are examined together. Courts have recognized that patterns across records may be used to establish systemic discrimination or discriminatory intent under both disparate treatment and disparate impact analysis.</w:t>
      </w:r>
    </w:p>
    <w:p>
      <w:pPr>
        <w:spacing w:after="130" w:before="180"/>
      </w:pPr>
      <w:r>
        <w:rPr>
          <w:rFonts w:ascii="Times New Roman" w:cs="Times New Roman" w:eastAsia="Times New Roman" w:hAnsi="Times New Roman"/>
          <w:b/>
          <w:bCs/>
          <w:i w:val="false"/>
          <w:iCs w:val="false"/>
          <w:sz w:val="26"/>
          <w:szCs w:val="26"/>
        </w:rPr>
        <w:t xml:space="preserve">V. Data Protection and the European Frame</w:t>
      </w:r>
    </w:p>
    <w:p>
      <w:pPr>
        <w:spacing w:after="150" w:line="276"/>
      </w:pPr>
      <w:r>
        <w:rPr>
          <w:rFonts w:ascii="Times New Roman" w:cs="Times New Roman" w:eastAsia="Times New Roman" w:hAnsi="Times New Roman"/>
          <w:sz w:val="24"/>
          <w:szCs w:val="24"/>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50" w:line="276"/>
      </w:pPr>
      <w:r>
        <w:rPr>
          <w:rFonts w:ascii="Times New Roman" w:cs="Times New Roman" w:eastAsia="Times New Roman" w:hAnsi="Times New Roman"/>
          <w:sz w:val="24"/>
          <w:szCs w:val="24"/>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the same time. The precise contours of these European obligations, and how they map onto records generated with general-purpose AI tools, are developed in the analysis that anchors this article.</w:t>
      </w:r>
    </w:p>
    <w:p>
      <w:pPr>
        <w:spacing w:after="130" w:before="180"/>
      </w:pPr>
      <w:r>
        <w:rPr>
          <w:rFonts w:ascii="Times New Roman" w:cs="Times New Roman" w:eastAsia="Times New Roman" w:hAnsi="Times New Roman"/>
          <w:b/>
          <w:bCs/>
          <w:i w:val="false"/>
          <w:iCs w:val="false"/>
          <w:sz w:val="26"/>
          <w:szCs w:val="26"/>
        </w:rPr>
        <w:t xml:space="preserve">VI. Oversight and Review</w:t>
      </w:r>
    </w:p>
    <w:p>
      <w:pPr>
        <w:spacing w:after="150" w:line="276"/>
      </w:pPr>
      <w:r>
        <w:rPr>
          <w:rFonts w:ascii="Times New Roman" w:cs="Times New Roman" w:eastAsia="Times New Roman" w:hAnsi="Times New Roman"/>
          <w:sz w:val="24"/>
          <w:szCs w:val="24"/>
        </w:rPr>
        <w:t xml:space="preserve">A defensible record should be able to answer three questions on its face. </w:t>
      </w:r>
      <w:r>
        <w:rPr>
          <w:rFonts w:ascii="Times New Roman" w:cs="Times New Roman" w:eastAsia="Times New Roman" w:hAnsi="Times New Roman"/>
          <w:b/>
          <w:bCs/>
          <w:sz w:val="24"/>
          <w:szCs w:val="24"/>
        </w:rPr>
        <w:t xml:space="preserve">Can the record be understood independently of its author? Are its conclusions supported by verifiable, non-AI-generated evidence? Can a neutral reviewer reconstruct the reasoning without additional explanation?</w:t>
      </w:r>
      <w:r>
        <w:rPr>
          <w:rFonts w:ascii="Times New Roman" w:cs="Times New Roman" w:eastAsia="Times New Roman" w:hAnsi="Times New Roman"/>
          <w:sz w:val="24"/>
          <w:szCs w:val="24"/>
        </w:rPr>
        <w:t xml:space="preserve">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spacing w:after="130" w:before="180"/>
      </w:pPr>
      <w:r>
        <w:rPr>
          <w:rFonts w:ascii="Times New Roman" w:cs="Times New Roman" w:eastAsia="Times New Roman" w:hAnsi="Times New Roman"/>
          <w:b/>
          <w:bCs/>
          <w:i w:val="false"/>
          <w:iCs w:val="false"/>
          <w:sz w:val="26"/>
          <w:szCs w:val="26"/>
        </w:rPr>
        <w:t xml:space="preserve">VII. Litigation and Regulatory Exposure</w:t>
      </w:r>
    </w:p>
    <w:p>
      <w:pPr>
        <w:spacing w:after="150" w:line="276"/>
      </w:pPr>
      <w:r>
        <w:rPr>
          <w:rFonts w:ascii="Times New Roman" w:cs="Times New Roman" w:eastAsia="Times New Roman" w:hAnsi="Times New Roman"/>
          <w:sz w:val="24"/>
          <w:szCs w:val="24"/>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50" w:line="276"/>
      </w:pPr>
      <w:r>
        <w:rPr>
          <w:rFonts w:ascii="Times New Roman" w:cs="Times New Roman" w:eastAsia="Times New Roman" w:hAnsi="Times New Roman"/>
          <w:sz w:val="24"/>
          <w:szCs w:val="24"/>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spacing w:after="150" w:line="276"/>
      </w:pPr>
      <w:r>
        <w:rPr>
          <w:rFonts w:ascii="Times New Roman" w:cs="Times New Roman" w:eastAsia="Times New Roman" w:hAnsi="Times New Roman"/>
          <w:sz w:val="24"/>
          <w:szCs w:val="24"/>
        </w:rPr>
        <w:t xml:space="preserve">These failures create risks beyond litigation exposure. They diminish an institution's capacity to explain its decisions to the people affected by them, and with it the transparency, accountability, and public confidence on which the institution depends.</w:t>
      </w:r>
    </w:p>
    <w:p>
      <w:pPr>
        <w:spacing w:after="130" w:before="180"/>
      </w:pPr>
      <w:r>
        <w:rPr>
          <w:rFonts w:ascii="Times New Roman" w:cs="Times New Roman" w:eastAsia="Times New Roman" w:hAnsi="Times New Roman"/>
          <w:b/>
          <w:bCs/>
          <w:i w:val="false"/>
          <w:iCs w:val="false"/>
          <w:sz w:val="26"/>
          <w:szCs w:val="26"/>
        </w:rPr>
        <w:t xml:space="preserve">VIII. Practitioner's Checklist</w:t>
      </w:r>
    </w:p>
    <w:p>
      <w:pPr>
        <w:spacing w:after="150" w:line="276"/>
      </w:pPr>
      <w:r>
        <w:rPr>
          <w:rFonts w:ascii="Times New Roman" w:cs="Times New Roman" w:eastAsia="Times New Roman" w:hAnsi="Times New Roman"/>
          <w:sz w:val="24"/>
          <w:szCs w:val="24"/>
        </w:rPr>
        <w:t xml:space="preserve">1. Identify the human author and the AI tool(s) used in drafting. 2. Preserve the underlying source materials, including notes, logs, and communications. 3. Link conclusions to verifiable, non-AI-generated evidence. 4. Document the human review step, including reviewer identity, date, and substantive changes. 5. Prohibit the use of unapproved external AI tools for official records. 6. Align records with the applicable data processing inventories, including GDPR Article 30 where relevant. 7. Preserve draft history, prompts, and tool-usage records for discovery. 8. Audit periodically for repeated subjective language across authors and business units. 9. Confirm consistency between the record and prior documented performance history.</w:t>
      </w:r>
    </w:p>
    <w:p>
      <w:pPr>
        <w:spacing w:after="130" w:before="180"/>
      </w:pPr>
      <w:r>
        <w:rPr>
          <w:rFonts w:ascii="Times New Roman" w:cs="Times New Roman" w:eastAsia="Times New Roman" w:hAnsi="Times New Roman"/>
          <w:b/>
          <w:bCs/>
          <w:i w:val="false"/>
          <w:iCs w:val="false"/>
          <w:sz w:val="26"/>
          <w:szCs w:val="26"/>
        </w:rPr>
        <w:t xml:space="preserve">IX. Conclusion</w:t>
      </w:r>
    </w:p>
    <w:p>
      <w:pPr>
        <w:spacing w:after="150" w:line="276"/>
      </w:pPr>
      <w:r>
        <w:rPr>
          <w:rFonts w:ascii="Times New Roman" w:cs="Times New Roman" w:eastAsia="Times New Roman" w:hAnsi="Times New Roman"/>
          <w:sz w:val="24"/>
          <w:szCs w:val="24"/>
        </w:rPr>
        <w:t xml:space="preserve">Risk arises where evidentiary traceability is absent, which is to say where Decision Reconstruction Risk is present. The organizations that will weather the next decade are the ones that treat a record as something that must answer for itself: in a courtroom, before a regulator, and to the person whose life it describes. Records will be judged on whether the reasoning behind them is visible, reproducible, and capable of withstanding independent scrutiny, in Europe and the United States alike.</w:t>
      </w:r>
    </w:p>
    <w:p>
      <w:pPr>
        <w:spacing w:after="150" w:line="276"/>
      </w:pPr>
      <w:r>
        <w:rPr>
          <w:rFonts w:ascii="Times New Roman" w:cs="Times New Roman" w:eastAsia="Times New Roman" w:hAnsi="Times New Roman"/>
          <w:sz w:val="24"/>
          <w:szCs w:val="24"/>
        </w:rPr>
        <w:t xml:space="preserve">Taken together, these legal and regulatory currents point past any single jurisdiction toward a common governance principle. When AI contributes to a consequential decision, the person affected should be able to understand the basis for it, and the organization should be able to reconstruct and defend it from the record. This expectation can be captured in a single phrase, the Right to Know Why: not a new legal doctrine, but a concise name for accountability expectations that already run through discovery, evidentiary sufficiency, the GDPR's accountability principle, and the record-keeping demands of the EU AI Act.</w:t>
      </w:r>
    </w:p>
    <w:p>
      <w:pPr>
        <w:spacing w:after="150" w:line="276"/>
      </w:pPr>
      <w:r>
        <w:rPr>
          <w:rFonts w:ascii="Times New Roman" w:cs="Times New Roman" w:eastAsia="Times New Roman" w:hAnsi="Times New Roman"/>
          <w:sz w:val="24"/>
          <w:szCs w:val="24"/>
        </w:rPr>
        <w:t xml:space="preserve">Whether the question is put through American evidentiary law or European fundamental-rights frameworks, it converges on the same test: can the decision still explain itself? When it cannot, meaningful accountability is compromised, both for the institution that must defend the decision and for the person entitled to understand it. Naming that test plainly is what the Right to Know Why offers to courts, regulators, organizations, and the people whose lives consequential decisions affect.</w:t>
      </w:r>
    </w:p>
    <w:p>
      <w:pPr>
        <w:spacing w:after="150" w:line="276"/>
      </w:pPr>
      <w:r>
        <w:rPr>
          <w:rFonts w:ascii="Times New Roman" w:cs="Times New Roman" w:eastAsia="Times New Roman" w:hAnsi="Times New Roman"/>
          <w:sz w:val="24"/>
          <w:szCs w:val="24"/>
        </w:rPr>
        <w:t xml:space="preserve">The drafting tool has changed. The evidentiary test has not.</w:t>
      </w:r>
    </w:p>
    <w:p>
      <w:pPr>
        <w:spacing w:after="130" w:before="180"/>
      </w:pPr>
      <w:r>
        <w:rPr>
          <w:rFonts w:ascii="Times New Roman" w:cs="Times New Roman" w:eastAsia="Times New Roman" w:hAnsi="Times New Roman"/>
          <w:b/>
          <w:bCs/>
          <w:i w:val="false"/>
          <w:iCs w:val="false"/>
          <w:sz w:val="26"/>
          <w:szCs w:val="26"/>
        </w:rPr>
        <w:t xml:space="preserve">About JRS</w:t>
      </w:r>
    </w:p>
    <w:p>
      <w:pPr>
        <w:spacing w:after="150" w:line="276"/>
      </w:pPr>
      <w:r>
        <w:rPr>
          <w:rFonts w:ascii="Times New Roman" w:cs="Times New Roman" w:eastAsia="Times New Roman" w:hAnsi="Times New Roman"/>
          <w:sz w:val="24"/>
          <w:szCs w:val="24"/>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Decision Reconstruction Risk, and JRS exists to catch it before a record is finalized.</w:t>
      </w:r>
    </w:p>
    <w:p>
      <w:pPr>
        <w:spacing w:after="150" w:line="276"/>
      </w:pPr>
      <w:r>
        <w:rPr>
          <w:rFonts w:ascii="Times New Roman" w:cs="Times New Roman" w:eastAsia="Times New Roman" w:hAnsi="Times New Roman"/>
          <w:sz w:val="24"/>
          <w:szCs w:val="24"/>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50" w:line="276"/>
      </w:pPr>
      <w:r>
        <w:rPr>
          <w:rFonts w:ascii="Times New Roman" w:cs="Times New Roman" w:eastAsia="Times New Roman" w:hAnsi="Times New Roman"/>
          <w:sz w:val="24"/>
          <w:szCs w:val="24"/>
        </w:rPr>
        <w:t xml:space="preserve">JRS is in structured validation. Independent reviewers across 8 countries on 5 continents have completed structured reviews. Independent raters reached substantial agreement under a pre-registered analysis. Three independent AI models, each from a different vendor,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50" w:line="276"/>
      </w:pPr>
      <w:r>
        <w:rPr>
          <w:rFonts w:ascii="Times New Roman" w:cs="Times New Roman" w:eastAsia="Times New Roman" w:hAnsi="Times New Roman"/>
          <w:sz w:val="24"/>
          <w:szCs w:val="24"/>
        </w:rPr>
        <w:t xml:space="preserve">JRS operates within existing HR, compliance, investigations, audit, and legal review processes. No specialized software or procedural redesign required.</w:t>
      </w:r>
    </w:p>
    <w:p>
      <w:pPr>
        <w:spacing w:after="130" w:before="180"/>
      </w:pPr>
      <w:r>
        <w:rPr>
          <w:rFonts w:ascii="Times New Roman" w:cs="Times New Roman" w:eastAsia="Times New Roman" w:hAnsi="Times New Roman"/>
          <w:b/>
          <w:bCs/>
          <w:i w:val="false"/>
          <w:iCs w:val="false"/>
          <w:sz w:val="26"/>
          <w:szCs w:val="26"/>
        </w:rPr>
        <w:t xml:space="preserve">Acknowledgment</w:t>
      </w:r>
    </w:p>
    <w:p>
      <w:pPr>
        <w:spacing w:after="150" w:line="276"/>
      </w:pPr>
      <w:r>
        <w:rPr>
          <w:rFonts w:ascii="Times New Roman" w:cs="Times New Roman" w:eastAsia="Times New Roman" w:hAnsi="Times New Roman"/>
          <w:sz w:val="24"/>
          <w:szCs w:val="24"/>
        </w:rPr>
        <w:t xml:space="preserve">The reliability and reproducibility methodology behind the validation figures cited above was designed by Ubayet Hossain, FRM, Associate Director (Model Validation), KPMG India.</w:t>
      </w:r>
    </w:p>
    <w:p>
      <w:pPr>
        <w:spacing w:after="130" w:before="180"/>
      </w:pPr>
      <w:r>
        <w:rPr>
          <w:rFonts w:ascii="Times New Roman" w:cs="Times New Roman" w:eastAsia="Times New Roman" w:hAnsi="Times New Roman"/>
          <w:b/>
          <w:bCs/>
          <w:i w:val="false"/>
          <w:iCs w:val="false"/>
          <w:sz w:val="26"/>
          <w:szCs w:val="26"/>
        </w:rPr>
        <w:t xml:space="preserve">About the Authors</w:t>
      </w:r>
    </w:p>
    <w:p>
      <w:pPr>
        <w:spacing w:after="150" w:line="276"/>
      </w:pPr>
      <w:r>
        <w:rPr>
          <w:rFonts w:ascii="Times New Roman" w:cs="Times New Roman" w:eastAsia="Times New Roman" w:hAnsi="Times New Roman"/>
          <w:b/>
          <w:bCs/>
          <w:sz w:val="24"/>
          <w:szCs w:val="24"/>
        </w:rPr>
        <w:t xml:space="preserve">Gabriela Zanfir-Fortuna, PhD,</w:t>
      </w:r>
      <w:r>
        <w:rPr>
          <w:rFonts w:ascii="Times New Roman" w:cs="Times New Roman" w:eastAsia="Times New Roman" w:hAnsi="Times New Roman"/>
          <w:sz w:val="24"/>
          <w:szCs w:val="24"/>
        </w:rPr>
        <w:t xml:space="preserve"> is Vice President for Global Privacy at the Future of Privacy Forum, where she leads its work on global data-protection and privacy developments. She previously served at the European Data Protection Supervisor in Brussels, where she was part of the litigation team appearing before the Court of Justice of the European Union and took part in the work of the Article 29 Working Party. Her doctoral research addressed the rights of the data subject and their adjudication. She is an associated researcher at the LSTS Center of Vrije Universiteit Brussel and a guest lecturer at Maastricht University's European Centre on Privacy and Cybersecurity.</w:t>
      </w:r>
    </w:p>
    <w:p>
      <w:pPr>
        <w:spacing w:after="150" w:line="276"/>
      </w:pPr>
      <w:r>
        <w:rPr>
          <w:rFonts w:ascii="Times New Roman" w:cs="Times New Roman" w:eastAsia="Times New Roman" w:hAnsi="Times New Roman"/>
          <w:b/>
          <w:bCs/>
          <w:sz w:val="24"/>
          <w:szCs w:val="24"/>
        </w:rPr>
        <w:t xml:space="preserve">Phillip Wikes</w:t>
      </w:r>
      <w:r>
        <w:rPr>
          <w:rFonts w:ascii="Times New Roman" w:cs="Times New Roman" w:eastAsia="Times New Roman" w:hAnsi="Times New Roman"/>
          <w:sz w:val="24"/>
          <w:szCs w:val="24"/>
        </w:rPr>
        <w:t xml:space="preserve"> is an AI Governance and Cognitive Risk Advisor focused on documentation integrity, evidentiary traceability, and record-level controls in AI-assisted environments.</w:t>
      </w:r>
    </w:p>
    <w:p>
      <w:pPr>
        <w:spacing w:after="150" w:line="276"/>
      </w:pPr>
      <w:r>
        <w:rPr>
          <w:rFonts w:ascii="Times New Roman" w:cs="Times New Roman" w:eastAsia="Times New Roman" w:hAnsi="Times New Roman"/>
          <w:sz w:val="24"/>
          <w:szCs w:val="24"/>
        </w:rPr>
        <w:t xml:space="preserve">From 2012 to 2025, he served as a Lead Civil Rights Officer at the Maryland Commission on Civil Rights, evaluating discrimination complaints and resolving matters through investigation, mediation, and structured fact-finding under federal HUD and EEOC frameworks.</w:t>
      </w:r>
    </w:p>
    <w:p>
      <w:pPr>
        <w:spacing w:after="150" w:line="276"/>
      </w:pPr>
      <w:r>
        <w:rPr>
          <w:rFonts w:ascii="Times New Roman" w:cs="Times New Roman" w:eastAsia="Times New Roman" w:hAnsi="Times New Roman"/>
          <w:sz w:val="24"/>
          <w:szCs w:val="24"/>
        </w:rPr>
        <w:t xml:space="preserve">He developed the Justification Review Standard (JRS), a structured documentation review instrument built for practitioner application within existing HR, compliance, investigations, audit, and legal review workflows, and named the risk it addresses: Decision Reconstruction Risk (DRR).</w:t>
      </w:r>
    </w:p>
    <w:p>
      <w:pPr>
        <w:spacing w:after="150" w:line="276"/>
      </w:pPr>
      <w:r>
        <w:rPr>
          <w:rFonts w:ascii="Times New Roman" w:cs="Times New Roman" w:eastAsia="Times New Roman" w:hAnsi="Times New Roman"/>
          <w:sz w:val="24"/>
          <w:szCs w:val="24"/>
        </w:rPr>
        <w:t xml:space="preserve">He also co-developed cognitive-behavioral programs used in educational and juvenile justice settings, and holds an M.S. in Negotiation and Conflict Management.</w:t>
      </w:r>
    </w:p>
    <w:p>
      <w:pPr>
        <w:spacing w:after="150" w:line="276"/>
      </w:pPr>
      <w:r>
        <w:rPr>
          <w:rFonts w:ascii="Times New Roman" w:cs="Times New Roman" w:eastAsia="Times New Roman" w:hAnsi="Times New Roman"/>
          <w:sz w:val="24"/>
          <w:szCs w:val="24"/>
        </w:rPr>
        <w:t xml:space="preserve">JRS: https://jrsstandard.com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2026-07-30T20:39:04.352Z</dcterms:created>
  <dcterms:modified xsi:type="dcterms:W3CDTF">2026-07-30T20:39:04.353Z</dcterms:modified>
</cp:coreProperties>
</file>

<file path=docProps/custom.xml><?xml version="1.0" encoding="utf-8"?>
<Properties xmlns="http://schemas.openxmlformats.org/officeDocument/2006/custom-properties" xmlns:vt="http://schemas.openxmlformats.org/officeDocument/2006/docPropsVTypes"/>
</file>