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IP SALE TRACKER</w:t>
      </w:r>
    </w:p>
    <w:p>
      <w:pPr>
        <w:spacing w:after="140"/>
      </w:pPr>
      <w:r>
        <w:rPr>
          <w:b/>
        </w:rPr>
        <w:t xml:space="preserve">The standing record of the JRS / DRR sale. Revised every turn. This is the file to read first.</w:t>
      </w:r>
    </w:p>
    <w:p>
      <w:pPr>
        <w:spacing w:after="140"/>
      </w:pPr>
      <w:r>
        <w:rPr>
          <w:b/>
        </w:rPr>
        <w:t xml:space="preserve">Web version:</w:t>
      </w:r>
      <w:r>
        <w:t xml:space="preserve"> </w:t>
      </w:r>
      <w:r>
        <w:rPr>
          <w:rFonts w:ascii="Consolas" w:hAnsi="Consolas"/>
        </w:rPr>
        <w:t xml:space="preserve">https://jrsstandard.com/programme-status-9872fb93cc94.html#sale-dossier</w:t>
      </w:r>
    </w:p>
    <w:p>
      <w:pPr>
        <w:spacing w:after="140"/>
      </w:pPr>
      <w:r>
        <w:rPr>
          <w:b/>
        </w:rPr>
        <w:t xml:space="preserve">WHERE THE THREE TRACKERS LIVE.</w:t>
      </w:r>
      <w:r>
        <w:t xml:space="preserve"> Asked for on 2026-08-13, recorded here so it never has to be asked again.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Tracker</w:t>
            </w:r>
          </w:p>
        </w:tc>
        <w:tc>
          <w:tcPr>
            <w:tcW w:w="3120" w:type="dxa"/>
          </w:tcPr>
          <w:p>
            <w:pPr>
              <w:spacing w:after="0"/>
            </w:pPr>
            <w:r>
              <w:t xml:space="preserve">Path</w:t>
            </w:r>
          </w:p>
        </w:tc>
        <w:tc>
          <w:tcPr>
            <w:tcW w:w="3120" w:type="dxa"/>
          </w:tcPr>
          <w:p>
            <w:pPr>
              <w:spacing w:after="0"/>
            </w:pPr>
            <w:r>
              <w:t xml:space="preserve">Reachable how</w:t>
            </w:r>
          </w:p>
        </w:tc>
      </w:tr>
      <w:tr>
        <w:tc>
          <w:tcPr>
            <w:tcW w:w="3120" w:type="dxa"/>
          </w:tcPr>
          <w:p>
            <w:pPr>
              <w:spacing w:after="0"/>
            </w:pPr>
            <w:r>
              <w:rPr>
                <w:b/>
              </w:rPr>
              <w:t xml:space="preserve">IP Sale Tracker</w:t>
            </w:r>
            <w:r>
              <w:t xml:space="preserve"> (this file)</w:t>
            </w:r>
          </w:p>
        </w:tc>
        <w:tc>
          <w:tcPr>
            <w:tcW w:w="3120" w:type="dxa"/>
          </w:tcPr>
          <w:p>
            <w:pPr>
              <w:spacing w:after="0"/>
            </w:pPr>
            <w:r>
              <w:rPr>
                <w:rFonts w:ascii="Consolas" w:hAnsi="Consolas"/>
              </w:rPr>
              <w:t xml:space="preserve">research/IP_SALE_TRACKER.md</w:t>
            </w:r>
          </w:p>
        </w:tc>
        <w:tc>
          <w:tcPr>
            <w:tcW w:w="3120" w:type="dxa"/>
          </w:tcPr>
          <w:p>
            <w:pPr>
              <w:spacing w:after="0"/>
            </w:pPr>
            <w:r>
              <w:rPr>
                <w:b/>
              </w:rPr>
              <w:t xml:space="preserve">Chat attachment only.</w:t>
            </w:r>
            <w:r>
              <w:t xml:space="preserve"> </w:t>
            </w:r>
            <w:r>
              <w:rPr>
                <w:rFonts w:ascii="Consolas" w:hAnsi="Consolas"/>
              </w:rPr>
              <w:t xml:space="preserve">research/</w:t>
            </w:r>
            <w:r>
              <w:t xml:space="preserve"> is deliberately not deployed, so it is not on the website. The Sale Dossier section of the private status page carries the public-facing version</w:t>
            </w:r>
          </w:p>
        </w:tc>
      </w:tr>
      <w:tr>
        <w:tc>
          <w:tcPr>
            <w:tcW w:w="3120" w:type="dxa"/>
          </w:tcPr>
          <w:p>
            <w:pPr>
              <w:spacing w:after="0"/>
            </w:pPr>
            <w:r>
              <w:t xml:space="preserve">IP Commercialization Tracker</w:t>
            </w:r>
          </w:p>
        </w:tc>
        <w:tc>
          <w:tcPr>
            <w:tcW w:w="3120" w:type="dxa"/>
          </w:tcPr>
          <w:p>
            <w:pPr>
              <w:spacing w:after="0"/>
            </w:pPr>
            <w:r>
              <w:rPr>
                <w:rFonts w:ascii="Consolas" w:hAnsi="Consolas"/>
              </w:rPr>
              <w:t xml:space="preserve">IP_COMMERCIALIZATION_TRACKER.md</w:t>
            </w:r>
            <w:r>
              <w:t xml:space="preserve"> (repo root)</w:t>
            </w:r>
          </w:p>
        </w:tc>
        <w:tc>
          <w:tcPr>
            <w:tcW w:w="3120" w:type="dxa"/>
          </w:tcPr>
          <w:p>
            <w:pPr>
              <w:spacing w:after="0"/>
            </w:pPr>
            <w:r>
              <w:t xml:space="preserve">Chat attachment; in the repository on the dev branch</w:t>
            </w:r>
          </w:p>
        </w:tc>
      </w:tr>
      <w:tr>
        <w:tc>
          <w:tcPr>
            <w:tcW w:w="3120" w:type="dxa"/>
          </w:tcPr>
          <w:p>
            <w:pPr>
              <w:spacing w:after="0"/>
            </w:pPr>
            <w:r>
              <w:t xml:space="preserve">Master Tracker</w:t>
            </w:r>
          </w:p>
        </w:tc>
        <w:tc>
          <w:tcPr>
            <w:tcW w:w="3120" w:type="dxa"/>
          </w:tcPr>
          <w:p>
            <w:pPr>
              <w:spacing w:after="0"/>
            </w:pPr>
            <w:r>
              <w:rPr>
                <w:rFonts w:ascii="Consolas" w:hAnsi="Consolas"/>
              </w:rPr>
              <w:t xml:space="preserve">MASTER_TRACKER.md</w:t>
            </w:r>
            <w:r>
              <w:t xml:space="preserve"> (repo root)</w:t>
            </w:r>
          </w:p>
        </w:tc>
        <w:tc>
          <w:tcPr>
            <w:tcW w:w="3120" w:type="dxa"/>
          </w:tcPr>
          <w:p>
            <w:pPr>
              <w:spacing w:after="0"/>
            </w:pPr>
            <w:r>
              <w:t xml:space="preserve">Chat attachment; in the repository</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Created</w:t>
            </w:r>
          </w:p>
        </w:tc>
        <w:tc>
          <w:tcPr>
            <w:tcW w:w="4680" w:type="dxa"/>
          </w:tcPr>
          <w:p>
            <w:pPr>
              <w:spacing w:after="0"/>
            </w:pPr>
            <w:r>
              <w:t xml:space="preserve">2026-08-13</w:t>
            </w:r>
          </w:p>
        </w:tc>
      </w:tr>
      <w:tr>
        <w:tc>
          <w:tcPr>
            <w:tcW w:w="4680" w:type="dxa"/>
          </w:tcPr>
          <w:p>
            <w:pPr>
              <w:spacing w:after="0"/>
            </w:pPr>
            <w:r>
              <w:rPr>
                <w:b/>
              </w:rPr>
              <w:t xml:space="preserve">Last revised</w:t>
            </w:r>
          </w:p>
        </w:tc>
        <w:tc>
          <w:tcPr>
            <w:tcW w:w="4680" w:type="dxa"/>
          </w:tcPr>
          <w:p>
            <w:pPr>
              <w:spacing w:after="0"/>
            </w:pPr>
            <w:r>
              <w:t xml:space="preserve">2026-08-15 (rev 13)</w:t>
            </w:r>
          </w:p>
        </w:tc>
      </w:tr>
      <w:tr>
        <w:tc>
          <w:tcPr>
            <w:tcW w:w="4680" w:type="dxa"/>
          </w:tcPr>
          <w:p>
            <w:pPr>
              <w:spacing w:after="0"/>
            </w:pPr>
            <w:r>
              <w:rPr>
                <w:b/>
              </w:rPr>
              <w:t xml:space="preserve">Revisions</w:t>
            </w:r>
          </w:p>
        </w:tc>
        <w:tc>
          <w:tcPr>
            <w:tcW w:w="4680" w:type="dxa"/>
          </w:tcPr>
          <w:p>
            <w:pPr>
              <w:spacing w:after="0"/>
            </w:pPr>
            <w:r>
              <w:t xml:space="preserve">13</w:t>
            </w:r>
          </w:p>
        </w:tc>
      </w:tr>
      <w:tr>
        <w:tc>
          <w:tcPr>
            <w:tcW w:w="4680" w:type="dxa"/>
          </w:tcPr>
          <w:p>
            <w:pPr>
              <w:spacing w:after="0"/>
            </w:pPr>
            <w:r>
              <w:rPr>
                <w:b/>
              </w:rPr>
              <w:t xml:space="preserve">Current stage</w:t>
            </w:r>
          </w:p>
        </w:tc>
        <w:tc>
          <w:tcPr>
            <w:tcW w:w="4680" w:type="dxa"/>
          </w:tcPr>
          <w:p>
            <w:pPr>
              <w:spacing w:after="0"/>
            </w:pPr>
            <w:r>
              <w:rPr>
                <w:b/>
              </w:rPr>
              <w:t xml:space="preserve">Zero buyer conversations held, because I advised waiting. Gate withdrawn 2026-08-13</w:t>
            </w:r>
          </w:p>
        </w:tc>
      </w:tr>
      <w:tr>
        <w:tc>
          <w:tcPr>
            <w:tcW w:w="4680" w:type="dxa"/>
          </w:tcPr>
          <w:p>
            <w:pPr>
              <w:spacing w:after="0"/>
            </w:pPr>
            <w:r>
              <w:rPr>
                <w:b/>
              </w:rPr>
              <w:t xml:space="preserve">Sale probability, as-is</w:t>
            </w:r>
          </w:p>
        </w:tc>
        <w:tc>
          <w:tcPr>
            <w:tcW w:w="4680" w:type="dxa"/>
          </w:tcPr>
          <w:p>
            <w:pPr>
              <w:spacing w:after="0"/>
            </w:pPr>
            <w:r>
              <w:rPr>
                <w:b/>
              </w:rPr>
              <w:t xml:space="preserve">5 to 10%</w:t>
            </w:r>
            <w:r>
              <w:t xml:space="preserve"> over ~12 months (owner's own anchor, </w:t>
            </w:r>
            <w:r>
              <w:rPr>
                <w:rFonts w:ascii="Consolas" w:hAnsi="Consolas"/>
              </w:rPr>
              <w:t xml:space="preserve">Path_to_Sale_Action_Plan.md</w:t>
            </w:r>
            <w:r>
              <w:t xml:space="preserve">, unchanged)</w:t>
            </w:r>
          </w:p>
        </w:tc>
      </w:tr>
    </w:tbl>
    <w:p>
      <w:pPr/>
      <w:r>
        <w:t/>
      </w:r>
    </w:p>
    <w:p>
      <w:pPr>
        <w:pBdr>
          <w:bottom w:val="single" w:sz="6" w:space="1" w:color="AAAAAA"/>
        </w:pBdr>
      </w:pPr>
    </w:p>
    <w:p>
      <w:pPr>
        <w:pStyle w:val="Heading2"/>
        <w:spacing w:after="140"/>
      </w:pPr>
      <w:r>
        <w:t xml:space="preserve">1. CORRECTION TO THE RECORD</w:t>
      </w:r>
    </w:p>
    <w:p>
      <w:pPr>
        <w:spacing w:after="140"/>
      </w:pPr>
      <w:r>
        <w:t xml:space="preserve">An earlier statement of mine said "the sale itself has never been attempted" and implied nothing had been built for it. </w:t>
      </w:r>
      <w:r>
        <w:rPr>
          <w:b/>
        </w:rPr>
        <w:t xml:space="preserve">That understated the work substantially.</w:t>
      </w:r>
      <w:r>
        <w:t xml:space="preserve"> The following all exist and predate that statement:</w:t>
      </w:r>
    </w:p>
    <w:p>
      <w:pPr>
        <w:spacing w:after="140"/>
      </w:pPr>
      <w:r>
        <w:rPr>
          <w:rFonts w:ascii="Consolas" w:hAnsi="Consolas"/>
        </w:rPr>
        <w:t xml:space="preserve">Path_to_Sale_Action_Plan.md</w:t>
      </w:r>
      <w:r>
        <w:t xml:space="preserve"> · </w:t>
      </w:r>
      <w:r>
        <w:rPr>
          <w:rFonts w:ascii="Consolas" w:hAnsi="Consolas"/>
        </w:rPr>
        <w:t xml:space="preserve">Sale_Likelihood_Assessment_2026-08-02.md</w:t>
      </w:r>
      <w:r>
        <w:t xml:space="preserve"> · </w:t>
      </w:r>
      <w:r>
        <w:rPr>
          <w:rFonts w:ascii="Consolas" w:hAnsi="Consolas"/>
        </w:rPr>
        <w:t xml:space="preserve">Sale_Likelihood_Assessment_2026-08-04.md</w:t>
      </w:r>
      <w:r>
        <w:t xml:space="preserve"> · </w:t>
      </w:r>
      <w:r>
        <w:rPr>
          <w:rFonts w:ascii="Consolas" w:hAnsi="Consolas"/>
        </w:rPr>
        <w:t xml:space="preserve">IP_Sale_Playbook.md</w:t>
      </w:r>
      <w:r>
        <w:t xml:space="preserve"> · </w:t>
      </w:r>
      <w:r>
        <w:rPr>
          <w:rFonts w:ascii="Consolas" w:hAnsi="Consolas"/>
        </w:rPr>
        <w:t xml:space="preserve">IP_Asset_Transfer_Map.md</w:t>
      </w:r>
      <w:r>
        <w:t xml:space="preserve"> · </w:t>
      </w:r>
      <w:r>
        <w:rPr>
          <w:rFonts w:ascii="Consolas" w:hAnsi="Consolas"/>
        </w:rPr>
        <w:t xml:space="preserve">JRS_Validation_Report.md</w:t>
      </w:r>
      <w:r>
        <w:t xml:space="preserve"> and </w:t>
      </w:r>
      <w:r>
        <w:rPr>
          <w:rFonts w:ascii="Consolas" w:hAnsi="Consolas"/>
        </w:rPr>
        <w:t xml:space="preserve">.pdf</w:t>
      </w:r>
      <w:r>
        <w:t xml:space="preserve"> · </w:t>
      </w:r>
      <w:r>
        <w:rPr>
          <w:rFonts w:ascii="Consolas" w:hAnsi="Consolas"/>
        </w:rPr>
        <w:t xml:space="preserve">acquisition-9f3c2a7d4b.html</w:t>
      </w:r>
      <w:r>
        <w:t xml:space="preserve"> · </w:t>
      </w:r>
      <w:r>
        <w:rPr>
          <w:rFonts w:ascii="Consolas" w:hAnsi="Consolas"/>
        </w:rPr>
        <w:t xml:space="preserve">vp-7c1f9a4e8d2b6035.html</w:t>
      </w:r>
      <w:r>
        <w:t xml:space="preserve"> · </w:t>
      </w:r>
      <w:r>
        <w:rPr>
          <w:rFonts w:ascii="Consolas" w:hAnsi="Consolas"/>
        </w:rPr>
        <w:t xml:space="preserve">build_prospectus_panel.py</w:t>
      </w:r>
      <w:r>
        <w:t xml:space="preserve"> · </w:t>
      </w:r>
      <w:r>
        <w:rPr>
          <w:rFonts w:ascii="Consolas" w:hAnsi="Consolas"/>
        </w:rPr>
        <w:t xml:space="preserve">build_prospectus_armb.py</w:t>
      </w:r>
    </w:p>
    <w:p>
      <w:pPr>
        <w:spacing w:after="140"/>
      </w:pPr>
      <w:r>
        <w:rPr>
          <w:b/>
        </w:rPr>
        <w:t xml:space="preserve">A full sale strategy, two dated probability assessments, two live buyer-facing pages and a validation report were already written.</w:t>
      </w:r>
      <w:r>
        <w:t xml:space="preserve"> The accurate statement is narrower: </w:t>
      </w:r>
      <w:r>
        <w:rPr>
          <w:b/>
        </w:rPr>
        <w:t xml:space="preserve">the strategy exists and has not been executed against.</w:t>
      </w:r>
      <w:r>
        <w:t xml:space="preserve"> That is the gap, and it is a different gap from "nothing was built."</w:t>
      </w:r>
    </w:p>
    <w:p>
      <w:pPr>
        <w:pBdr>
          <w:bottom w:val="single" w:sz="6" w:space="1" w:color="AAAAAA"/>
        </w:pBdr>
      </w:pPr>
    </w:p>
    <w:p>
      <w:pPr>
        <w:pStyle w:val="Heading2"/>
        <w:spacing w:after="140"/>
      </w:pPr>
      <w:r>
        <w:t xml:space="preserve">2. ASSET INVENTORY: what exists, and has it been used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Asset</w:t>
            </w:r>
          </w:p>
        </w:tc>
        <w:tc>
          <w:tcPr>
            <w:tcW w:w="3120" w:type="dxa"/>
          </w:tcPr>
          <w:p>
            <w:pPr>
              <w:spacing w:after="0"/>
            </w:pPr>
            <w:r>
              <w:t xml:space="preserve">State</w:t>
            </w:r>
          </w:p>
        </w:tc>
        <w:tc>
          <w:tcPr>
            <w:tcW w:w="3120" w:type="dxa"/>
          </w:tcPr>
          <w:p>
            <w:pPr>
              <w:spacing w:after="0"/>
            </w:pPr>
            <w:r>
              <w:t xml:space="preserve">Ever shown to a buyer</w:t>
            </w:r>
          </w:p>
        </w:tc>
      </w:tr>
      <w:tr>
        <w:tc>
          <w:tcPr>
            <w:tcW w:w="3120" w:type="dxa"/>
          </w:tcPr>
          <w:p>
            <w:pPr>
              <w:spacing w:after="0"/>
            </w:pPr>
            <w:r>
              <w:rPr>
                <w:rFonts w:ascii="Consolas" w:hAnsi="Consolas"/>
              </w:rPr>
              <w:t xml:space="preserve">acquisition-9f3c2a7d4b.html</w:t>
            </w:r>
            <w:r>
              <w:t xml:space="preserve"> prospectus</w:t>
            </w:r>
          </w:p>
        </w:tc>
        <w:tc>
          <w:tcPr>
            <w:tcW w:w="3120" w:type="dxa"/>
          </w:tcPr>
          <w:p>
            <w:pPr>
              <w:spacing w:after="0"/>
            </w:pPr>
            <w:r>
              <w:rPr>
                <w:b/>
              </w:rPr>
              <w:t xml:space="preserve">LIVE</w:t>
            </w:r>
            <w:r>
              <w:t xml:space="preserve">, HTTP 200. </w:t>
            </w:r>
            <w:r>
              <w:rPr>
                <w:b/>
              </w:rPr>
              <w:t xml:space="preserve">Rev 4: anchors 2 to 8.</w:t>
            </w:r>
            <w:r>
              <w:t xml:space="preserve"> Now links the guides, training, vendor preview, OpenAPI, Standard PDF and simulations. Panel figures pull live from </w:t>
            </w:r>
            <w:r>
              <w:rPr>
                <w:rFonts w:ascii="Consolas" w:hAnsi="Consolas"/>
              </w:rPr>
              <w:t xml:space="preserve">/api/panel-stats</w:t>
            </w:r>
          </w:p>
        </w:tc>
        <w:tc>
          <w:tcPr>
            <w:tcW w:w="3120" w:type="dxa"/>
          </w:tcPr>
          <w:p>
            <w:pPr>
              <w:spacing w:after="0"/>
            </w:pPr>
            <w:r>
              <w:rPr>
                <w:b/>
              </w:rPr>
              <w:t xml:space="preserve">No record</w:t>
            </w:r>
          </w:p>
        </w:tc>
      </w:tr>
      <w:tr>
        <w:tc>
          <w:tcPr>
            <w:tcW w:w="3120" w:type="dxa"/>
          </w:tcPr>
          <w:p>
            <w:pPr>
              <w:spacing w:after="0"/>
            </w:pPr>
            <w:r>
              <w:rPr>
                <w:rFonts w:ascii="Consolas" w:hAnsi="Consolas"/>
              </w:rPr>
              <w:t xml:space="preserve">vp-7c1f9a4e8d2b6035.html</w:t>
            </w:r>
          </w:p>
        </w:tc>
        <w:tc>
          <w:tcPr>
            <w:tcW w:w="3120" w:type="dxa"/>
          </w:tcPr>
          <w:p>
            <w:pPr>
              <w:spacing w:after="0"/>
            </w:pPr>
            <w:r>
              <w:rPr>
                <w:b/>
              </w:rPr>
              <w:t xml:space="preserve">LIVE</w:t>
            </w:r>
            <w:r>
              <w:t xml:space="preserve">, HTTP 200. </w:t>
            </w:r>
            <w:r>
              <w:rPr>
                <w:b/>
              </w:rPr>
              <w:t xml:space="preserve">Rev 4: now cross-links the prospectus</w:t>
            </w:r>
          </w:p>
        </w:tc>
        <w:tc>
          <w:tcPr>
            <w:tcW w:w="3120" w:type="dxa"/>
          </w:tcPr>
          <w:p>
            <w:pPr>
              <w:spacing w:after="0"/>
            </w:pPr>
            <w:r>
              <w:rPr>
                <w:b/>
              </w:rPr>
              <w:t xml:space="preserve">No record</w:t>
            </w:r>
          </w:p>
        </w:tc>
      </w:tr>
      <w:tr>
        <w:tc>
          <w:tcPr>
            <w:tcW w:w="3120" w:type="dxa"/>
          </w:tcPr>
          <w:p>
            <w:pPr>
              <w:spacing w:after="0"/>
            </w:pPr>
            <w:r>
              <w:rPr>
                <w:rFonts w:ascii="Consolas" w:hAnsi="Consolas"/>
              </w:rPr>
              <w:t xml:space="preserve">JRS_Validation_Report.md</w:t>
            </w:r>
            <w:r>
              <w:t xml:space="preserve"> / </w:t>
            </w:r>
            <w:r>
              <w:rPr>
                <w:rFonts w:ascii="Consolas" w:hAnsi="Consolas"/>
              </w:rPr>
              <w:t xml:space="preserve">.pdf</w:t>
            </w:r>
          </w:p>
        </w:tc>
        <w:tc>
          <w:tcPr>
            <w:tcW w:w="3120" w:type="dxa"/>
          </w:tcPr>
          <w:p>
            <w:pPr>
              <w:spacing w:after="0"/>
            </w:pPr>
            <w:r>
              <w:t xml:space="preserve">Written. </w:t>
            </w:r>
            <w:r>
              <w:rPr>
                <w:b/>
              </w:rPr>
              <w:t xml:space="preserve">Confidential: its own statement says not for public distribution. Released under NDA only, named on the prospectus but not linked</w:t>
            </w:r>
          </w:p>
        </w:tc>
        <w:tc>
          <w:tcPr>
            <w:tcW w:w="3120" w:type="dxa"/>
          </w:tcPr>
          <w:p>
            <w:pPr>
              <w:spacing w:after="0"/>
            </w:pPr>
            <w:r>
              <w:rPr>
                <w:b/>
              </w:rPr>
              <w:t xml:space="preserve">No record</w:t>
            </w:r>
          </w:p>
        </w:tc>
      </w:tr>
      <w:tr>
        <w:tc>
          <w:tcPr>
            <w:tcW w:w="3120" w:type="dxa"/>
          </w:tcPr>
          <w:p>
            <w:pPr>
              <w:spacing w:after="0"/>
            </w:pPr>
            <w:r>
              <w:rPr>
                <w:rFonts w:ascii="Consolas" w:hAnsi="Consolas"/>
              </w:rPr>
              <w:t xml:space="preserve">IP_Sale_Playbook.md</w:t>
            </w:r>
          </w:p>
        </w:tc>
        <w:tc>
          <w:tcPr>
            <w:tcW w:w="3120" w:type="dxa"/>
          </w:tcPr>
          <w:p>
            <w:pPr>
              <w:spacing w:after="0"/>
            </w:pPr>
            <w:r>
              <w:t xml:space="preserve">Written</w:t>
            </w:r>
          </w:p>
        </w:tc>
        <w:tc>
          <w:tcPr>
            <w:tcW w:w="3120" w:type="dxa"/>
          </w:tcPr>
          <w:p>
            <w:pPr>
              <w:spacing w:after="0"/>
            </w:pPr>
            <w:r>
              <w:t xml:space="preserve">Internal</w:t>
            </w:r>
          </w:p>
        </w:tc>
      </w:tr>
      <w:tr>
        <w:tc>
          <w:tcPr>
            <w:tcW w:w="3120" w:type="dxa"/>
          </w:tcPr>
          <w:p>
            <w:pPr>
              <w:spacing w:after="0"/>
            </w:pPr>
            <w:r>
              <w:rPr>
                <w:rFonts w:ascii="Consolas" w:hAnsi="Consolas"/>
              </w:rPr>
              <w:t xml:space="preserve">IP_Asset_Transfer_Map.md</w:t>
            </w:r>
          </w:p>
        </w:tc>
        <w:tc>
          <w:tcPr>
            <w:tcW w:w="3120" w:type="dxa"/>
          </w:tcPr>
          <w:p>
            <w:pPr>
              <w:spacing w:after="0"/>
            </w:pPr>
            <w:r>
              <w:t xml:space="preserve">Written</w:t>
            </w:r>
          </w:p>
        </w:tc>
        <w:tc>
          <w:tcPr>
            <w:tcW w:w="3120" w:type="dxa"/>
          </w:tcPr>
          <w:p>
            <w:pPr>
              <w:spacing w:after="0"/>
            </w:pPr>
            <w:r>
              <w:t xml:space="preserve">Internal</w:t>
            </w:r>
          </w:p>
        </w:tc>
      </w:tr>
      <w:tr>
        <w:tc>
          <w:tcPr>
            <w:tcW w:w="3120" w:type="dxa"/>
          </w:tcPr>
          <w:p>
            <w:pPr>
              <w:spacing w:after="0"/>
            </w:pPr>
            <w:r>
              <w:rPr>
                <w:rFonts w:ascii="Consolas" w:hAnsi="Consolas"/>
              </w:rPr>
              <w:t xml:space="preserve">Path_to_Sale_Action_Plan.md</w:t>
            </w:r>
          </w:p>
        </w:tc>
        <w:tc>
          <w:tcPr>
            <w:tcW w:w="3120" w:type="dxa"/>
          </w:tcPr>
          <w:p>
            <w:pPr>
              <w:spacing w:after="0"/>
            </w:pPr>
            <w:r>
              <w:t xml:space="preserve">Written, sound</w:t>
            </w:r>
          </w:p>
        </w:tc>
        <w:tc>
          <w:tcPr>
            <w:tcW w:w="3120" w:type="dxa"/>
          </w:tcPr>
          <w:p>
            <w:pPr>
              <w:spacing w:after="0"/>
            </w:pPr>
            <w:r>
              <w:t xml:space="preserve">Internal</w:t>
            </w:r>
          </w:p>
        </w:tc>
      </w:tr>
      <w:tr>
        <w:tc>
          <w:tcPr>
            <w:tcW w:w="3120" w:type="dxa"/>
          </w:tcPr>
          <w:p>
            <w:pPr>
              <w:spacing w:after="0"/>
            </w:pPr>
            <w:r>
              <w:t xml:space="preserve">Sale likelihood assessments ×2</w:t>
            </w:r>
          </w:p>
        </w:tc>
        <w:tc>
          <w:tcPr>
            <w:tcW w:w="3120" w:type="dxa"/>
          </w:tcPr>
          <w:p>
            <w:pPr>
              <w:spacing w:after="0"/>
            </w:pPr>
            <w:r>
              <w:t xml:space="preserve">Written 08-02, 08-04</w:t>
            </w:r>
          </w:p>
        </w:tc>
        <w:tc>
          <w:tcPr>
            <w:tcW w:w="3120" w:type="dxa"/>
          </w:tcPr>
          <w:p>
            <w:pPr>
              <w:spacing w:after="0"/>
            </w:pPr>
            <w:r>
              <w:t xml:space="preserve">Internal</w:t>
            </w:r>
          </w:p>
        </w:tc>
      </w:tr>
      <w:tr>
        <w:tc>
          <w:tcPr>
            <w:tcW w:w="3120" w:type="dxa"/>
          </w:tcPr>
          <w:p>
            <w:pPr>
              <w:spacing w:after="0"/>
            </w:pPr>
            <w:r>
              <w:t xml:space="preserve">Prospectus builders ×2</w:t>
            </w:r>
          </w:p>
        </w:tc>
        <w:tc>
          <w:tcPr>
            <w:tcW w:w="3120" w:type="dxa"/>
          </w:tcPr>
          <w:p>
            <w:pPr>
              <w:spacing w:after="0"/>
            </w:pPr>
            <w:r>
              <w:t xml:space="preserve">Scripts on disk</w:t>
            </w:r>
          </w:p>
        </w:tc>
        <w:tc>
          <w:tcPr>
            <w:tcW w:w="3120" w:type="dxa"/>
          </w:tcPr>
          <w:p>
            <w:pPr>
              <w:spacing w:after="0"/>
            </w:pPr>
            <w:r>
              <w:t xml:space="preserve">Internal</w:t>
            </w:r>
          </w:p>
        </w:tc>
      </w:tr>
    </w:tbl>
    <w:p>
      <w:pPr/>
      <w:r>
        <w:t/>
      </w:r>
    </w:p>
    <w:p>
      <w:pPr>
        <w:spacing w:after="140"/>
      </w:pPr>
      <w:r>
        <w:rPr>
          <w:b/>
        </w:rPr>
        <w:t xml:space="preserve">Every buyer-facing artifact is finished. None has a recorded recipient.</w:t>
      </w:r>
    </w:p>
    <w:p>
      <w:pPr>
        <w:spacing w:after="140"/>
      </w:pPr>
      <w:r>
        <w:rPr>
          <w:rFonts w:ascii="Consolas" w:hAnsi="Consolas"/>
        </w:rPr>
        <w:t xml:space="preserve">[REQUIRES USER INPUT]</w:t>
      </w:r>
      <w:r>
        <w:t xml:space="preserve">: has any buyer, at any time, been approached off-record?</w:t>
      </w:r>
    </w:p>
    <w:p>
      <w:pPr>
        <w:pBdr>
          <w:bottom w:val="single" w:sz="6" w:space="1" w:color="AAAAAA"/>
        </w:pBdr>
      </w:pPr>
    </w:p>
    <w:p>
      <w:pPr>
        <w:pStyle w:val="Heading2"/>
        <w:spacing w:after="140"/>
      </w:pPr>
      <w:r>
        <w:t xml:space="preserve">3. THE GATE: WITHDRAWN. IT WAS MY ERROR, NOT AN EXECUTION FAILURE</w:t>
      </w:r>
    </w:p>
    <w:p>
      <w:pPr>
        <w:spacing w:after="140"/>
      </w:pPr>
      <w:r>
        <w:rPr>
          <w:b/>
        </w:rPr>
        <w:t xml:space="preserve">Revision 2 correction. Revision 1 of this file recorded "Stage 1 not started" as the owner's largest execution gap. That was wrong and unfair, and the reason is in my own advice.</w:t>
      </w:r>
    </w:p>
    <w:p>
      <w:pPr>
        <w:spacing w:after="140"/>
      </w:pPr>
      <w:r>
        <w:rPr>
          <w:rFonts w:ascii="Consolas" w:hAnsi="Consolas"/>
        </w:rPr>
        <w:t xml:space="preserve">Path_to_Sale_Action_Plan.md</w:t>
      </w:r>
      <w:r>
        <w:t xml:space="preserve">, written 2026-08-01, set </w:t>
      </w:r>
      <w:r>
        <w:rPr>
          <w:b/>
        </w:rPr>
        <w:t xml:space="preserve">three gates before the formal buyer process</w:t>
      </w:r>
      <w:r>
        <w:t xml:space="preserve">: one publication accepted, </w:t>
      </w:r>
      <w:r>
        <w:rPr>
          <w:b/>
        </w:rPr>
        <w:t xml:space="preserve">marks filed</w:t>
      </w:r>
      <w:r>
        <w:t xml:space="preserve">, and </w:t>
      </w:r>
      <w:r>
        <w:rPr>
          <w:b/>
        </w:rPr>
        <w:t xml:space="preserve">one paying pilot</w:t>
      </w:r>
      <w:r>
        <w:t xml:space="preserve">. Whatever Stage 1 said about "warm conversations", a document that lists three prerequisites before buyer outreach reads, correctly, as </w:t>
      </w:r>
      <w:r>
        <w:rPr>
          <w:i/>
        </w:rPr>
        <w:t xml:space="preserve">do not approach buyers yet</w:t>
      </w:r>
      <w:r>
        <w:t xml:space="preserve">. </w:t>
      </w:r>
      <w:r>
        <w:rPr>
          <w:b/>
        </w:rPr>
        <w:t xml:space="preserve">The owner followed the plan he was given.</w:t>
      </w:r>
    </w:p>
    <w:p>
      <w:pPr>
        <w:spacing w:after="140"/>
      </w:pPr>
      <w:r>
        <w:rPr>
          <w:b/>
        </w:rPr>
        <w:t xml:space="preserve">It then got worse, and that is also mine.</w:t>
      </w:r>
      <w:r>
        <w:t xml:space="preserve"> On 2026-08-13 I advised holding the trademark filings on a trigger rule. </w:t>
      </w:r>
      <w:r>
        <w:rPr>
          <w:b/>
        </w:rPr>
        <w:t xml:space="preserve">That deferred gate 2 indefinitely</w:t>
      </w:r>
      <w:r>
        <w:t xml:space="preserve">, so my own later advice made a gate of my own making unreachable. Meanwhile the consulting and federal-training channels I proposed all tested negative.</w:t>
      </w:r>
    </w:p>
    <w:p>
      <w:pPr>
        <w:spacing w:after="140"/>
      </w:pPr>
      <w:r>
        <w:rPr>
          <w:b/>
        </w:rPr>
        <w:t xml:space="preserve">Net effect: my advice is the reason no buyer has been approached.</w:t>
      </w:r>
      <w:r>
        <w:t xml:space="preserve"> The owner asked, was told it was too early, and complied.</w:t>
      </w:r>
    </w:p>
    <w:p>
      <w:pPr>
        <w:pStyle w:val="Heading3"/>
        <w:spacing w:after="140"/>
      </w:pPr>
      <w:r>
        <w:t xml:space="preserve">The gates, re-examined honestly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Gate</w:t>
            </w:r>
          </w:p>
        </w:tc>
        <w:tc>
          <w:tcPr>
            <w:tcW w:w="4680" w:type="dxa"/>
          </w:tcPr>
          <w:p>
            <w:pPr>
              <w:spacing w:after="0"/>
            </w:pPr>
            <w:r>
              <w:t xml:space="preserve">Real prerequisite for TALKING to a buyer?</w:t>
            </w:r>
          </w:p>
        </w:tc>
      </w:tr>
      <w:tr>
        <w:tc>
          <w:tcPr>
            <w:tcW w:w="4680" w:type="dxa"/>
          </w:tcPr>
          <w:p>
            <w:pPr>
              <w:spacing w:after="0"/>
            </w:pPr>
            <w:r>
              <w:t xml:space="preserve">Publication accepted</w:t>
            </w:r>
          </w:p>
        </w:tc>
        <w:tc>
          <w:tcPr>
            <w:tcW w:w="4680" w:type="dxa"/>
          </w:tcPr>
          <w:p>
            <w:pPr>
              <w:spacing w:after="0"/>
            </w:pPr>
            <w:r>
              <w:rPr>
                <w:b/>
              </w:rPr>
              <w:t xml:space="preserve">No.</w:t>
            </w:r>
            <w:r>
              <w:t xml:space="preserve"> Helpful. Not required</w:t>
            </w:r>
          </w:p>
        </w:tc>
      </w:tr>
      <w:tr>
        <w:tc>
          <w:tcPr>
            <w:tcW w:w="4680" w:type="dxa"/>
          </w:tcPr>
          <w:p>
            <w:pPr>
              <w:spacing w:after="0"/>
            </w:pPr>
            <w:r>
              <w:t xml:space="preserve">Marks filed</w:t>
            </w:r>
          </w:p>
        </w:tc>
        <w:tc>
          <w:tcPr>
            <w:tcW w:w="4680" w:type="dxa"/>
          </w:tcPr>
          <w:p>
            <w:pPr>
              <w:spacing w:after="0"/>
            </w:pPr>
            <w:r>
              <w:rPr>
                <w:b/>
              </w:rPr>
              <w:t xml:space="preserve">No.</w:t>
            </w:r>
            <w:r>
              <w:t xml:space="preserve"> Buyers do not require pending trademarks to hold a conversation</w:t>
            </w:r>
          </w:p>
        </w:tc>
      </w:tr>
      <w:tr>
        <w:tc>
          <w:tcPr>
            <w:tcW w:w="4680" w:type="dxa"/>
          </w:tcPr>
          <w:p>
            <w:pPr>
              <w:spacing w:after="0"/>
            </w:pPr>
            <w:r>
              <w:t xml:space="preserve">One paying pilot</w:t>
            </w:r>
          </w:p>
        </w:tc>
        <w:tc>
          <w:tcPr>
            <w:tcW w:w="4680" w:type="dxa"/>
          </w:tcPr>
          <w:p>
            <w:pPr>
              <w:spacing w:after="0"/>
            </w:pPr>
            <w:r>
              <w:rPr>
                <w:b/>
              </w:rPr>
              <w:t xml:space="preserve">No.</w:t>
            </w:r>
            <w:r>
              <w:t xml:space="preserve"> It raises price. It does not gate a conversation</w:t>
            </w:r>
          </w:p>
        </w:tc>
      </w:tr>
    </w:tbl>
    <w:p>
      <w:pPr/>
      <w:r>
        <w:t/>
      </w:r>
    </w:p>
    <w:p>
      <w:pPr>
        <w:spacing w:after="140"/>
      </w:pPr>
      <w:r>
        <w:rPr>
          <w:b/>
        </w:rPr>
        <w:t xml:space="preserve">They are reasonable conditions for opening a competitive process with a data room. They are not conditions for speaking to anyone.</w:t>
      </w:r>
      <w:r>
        <w:t xml:space="preserve"> Conflating those two is the error.</w:t>
      </w:r>
    </w:p>
    <w:p>
      <w:pPr>
        <w:pStyle w:val="Heading3"/>
        <w:spacing w:after="140"/>
      </w:pPr>
      <w:r>
        <w:t xml:space="preserve">The rule that replaces them</w:t>
      </w:r>
    </w:p>
    <w:p>
      <w:pPr>
        <w:spacing w:after="140"/>
      </w:pPr>
      <w:r>
        <w:rPr>
          <w:b/>
        </w:rPr>
        <w:t xml:space="preserve">There is no gate on buyer conversations. None. Start whenever you choose.</w:t>
      </w:r>
    </w:p>
    <w:p>
      <w:pPr>
        <w:spacing w:after="140"/>
      </w:pPr>
      <w:r>
        <w:t xml:space="preserve">The only things that stay gated are the confidential core, and those are guardrails, not timing: NDA before specifics, and the answer key and five-condition scoring never leave the building.</w:t>
      </w:r>
    </w:p>
    <w:p>
      <w:pPr>
        <w:spacing w:after="140"/>
      </w:pPr>
      <w:r>
        <w:rPr>
          <w:b/>
        </w:rPr>
        <w:t xml:space="preserve">Current position on the old Stage 2 list, kept only for reference:</w:t>
      </w:r>
      <w:r>
        <w:t xml:space="preserve"> publication accepted ✅ (CEP Magazine, 2026-07-16, November issue); marks not filed; no paying pilot.</w:t>
      </w:r>
    </w:p>
    <w:p>
      <w:pPr>
        <w:pStyle w:val="Heading2"/>
        <w:spacing w:after="140"/>
      </w:pPr>
      <w:r>
        <w:t xml:space="preserve">4. LIVE FIGURES, read from production 2026-08-13</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Value</w:t>
            </w:r>
          </w:p>
        </w:tc>
      </w:tr>
      <w:tr>
        <w:tc>
          <w:tcPr>
            <w:tcW w:w="4680" w:type="dxa"/>
          </w:tcPr>
          <w:p>
            <w:pPr>
              <w:spacing w:after="0"/>
            </w:pPr>
            <w:r>
              <w:t xml:space="preserve">Revenue</w:t>
            </w:r>
          </w:p>
        </w:tc>
        <w:tc>
          <w:tcPr>
            <w:tcW w:w="4680" w:type="dxa"/>
          </w:tcPr>
          <w:p>
            <w:pPr>
              <w:spacing w:after="0"/>
            </w:pPr>
            <w:r>
              <w:rPr>
                <w:b/>
              </w:rPr>
              <w:t xml:space="preserve">$0.</w:t>
            </w:r>
            <w:r>
              <w:t xml:space="preserve"> No payment mechanism exists anywhere on the site</w:t>
            </w:r>
          </w:p>
        </w:tc>
      </w:tr>
      <w:tr>
        <w:tc>
          <w:tcPr>
            <w:tcW w:w="4680" w:type="dxa"/>
          </w:tcPr>
          <w:p>
            <w:pPr>
              <w:spacing w:after="0"/>
            </w:pPr>
            <w:r>
              <w:t xml:space="preserve">Organization pilots</w:t>
            </w:r>
          </w:p>
        </w:tc>
        <w:tc>
          <w:tcPr>
            <w:tcW w:w="4680" w:type="dxa"/>
          </w:tcPr>
          <w:p>
            <w:pPr>
              <w:spacing w:after="0"/>
            </w:pPr>
            <w:r>
              <w:rPr>
                <w:b/>
              </w:rPr>
              <w:t xml:space="preserve">0</w:t>
            </w:r>
            <w:r>
              <w:t xml:space="preserve"> organizations, 0 sessions, 0 records run</w:t>
            </w:r>
          </w:p>
        </w:tc>
      </w:tr>
      <w:tr>
        <w:tc>
          <w:tcPr>
            <w:tcW w:w="4680" w:type="dxa"/>
          </w:tcPr>
          <w:p>
            <w:pPr>
              <w:spacing w:after="0"/>
            </w:pPr>
            <w:r>
              <w:t xml:space="preserve">Reviewer evaluations submitted</w:t>
            </w:r>
          </w:p>
        </w:tc>
        <w:tc>
          <w:tcPr>
            <w:tcW w:w="4680" w:type="dxa"/>
          </w:tcPr>
          <w:p>
            <w:pPr>
              <w:spacing w:after="0"/>
            </w:pPr>
            <w:r>
              <w:rPr>
                <w:b/>
              </w:rPr>
              <w:t xml:space="preserve">0</w:t>
            </w:r>
          </w:p>
        </w:tc>
      </w:tr>
      <w:tr>
        <w:tc>
          <w:tcPr>
            <w:tcW w:w="4680" w:type="dxa"/>
          </w:tcPr>
          <w:p>
            <w:pPr>
              <w:spacing w:after="0"/>
            </w:pPr>
            <w:r>
              <w:t xml:space="preserve">Named people in the contact table</w:t>
            </w:r>
          </w:p>
        </w:tc>
        <w:tc>
          <w:tcPr>
            <w:tcW w:w="4680" w:type="dxa"/>
          </w:tcPr>
          <w:p>
            <w:pPr>
              <w:spacing w:after="0"/>
            </w:pPr>
            <w:r>
              <w:rPr>
                <w:b/>
              </w:rPr>
              <w:t xml:space="preserve">11</w:t>
            </w:r>
            <w:r>
              <w:t xml:space="preserve">, across </w:t>
            </w:r>
            <w:r>
              <w:rPr>
                <w:b/>
              </w:rPr>
              <w:t xml:space="preserve">7</w:t>
            </w:r>
            <w:r>
              <w:t xml:space="preserve"> countries</w:t>
            </w:r>
          </w:p>
        </w:tc>
      </w:tr>
      <w:tr>
        <w:tc>
          <w:tcPr>
            <w:tcW w:w="4680" w:type="dxa"/>
          </w:tcPr>
          <w:p>
            <w:pPr>
              <w:spacing w:after="0"/>
            </w:pPr>
            <w:r>
              <w:t xml:space="preserve">Rows carrying transfer consent</w:t>
            </w:r>
          </w:p>
        </w:tc>
        <w:tc>
          <w:tcPr>
            <w:tcW w:w="4680" w:type="dxa"/>
          </w:tcPr>
          <w:p>
            <w:pPr>
              <w:spacing w:after="0"/>
            </w:pPr>
            <w:r>
              <w:rPr>
                <w:b/>
              </w:rPr>
              <w:t xml:space="preserve">12</w:t>
            </w:r>
          </w:p>
        </w:tc>
      </w:tr>
      <w:tr>
        <w:tc>
          <w:tcPr>
            <w:tcW w:w="4680" w:type="dxa"/>
          </w:tcPr>
          <w:p>
            <w:pPr>
              <w:spacing w:after="0"/>
            </w:pPr>
            <w:r>
              <w:t xml:space="preserve">Training completions, row-verified</w:t>
            </w:r>
          </w:p>
        </w:tc>
        <w:tc>
          <w:tcPr>
            <w:tcW w:w="4680" w:type="dxa"/>
          </w:tcPr>
          <w:p>
            <w:pPr>
              <w:spacing w:after="0"/>
            </w:pPr>
            <w:r>
              <w:rPr>
                <w:b/>
              </w:rPr>
              <w:t xml:space="preserve">4</w:t>
            </w:r>
          </w:p>
        </w:tc>
      </w:tr>
      <w:tr>
        <w:tc>
          <w:tcPr>
            <w:tcW w:w="4680" w:type="dxa"/>
          </w:tcPr>
          <w:p>
            <w:pPr>
              <w:spacing w:after="0"/>
            </w:pPr>
            <w:r>
              <w:t xml:space="preserve">Endorsements, all sources, all time</w:t>
            </w:r>
          </w:p>
        </w:tc>
        <w:tc>
          <w:tcPr>
            <w:tcW w:w="4680" w:type="dxa"/>
          </w:tcPr>
          <w:p>
            <w:pPr>
              <w:spacing w:after="0"/>
            </w:pPr>
            <w:r>
              <w:rPr>
                <w:b/>
              </w:rPr>
              <w:t xml:space="preserve">50</w:t>
            </w:r>
            <w:r>
              <w:t xml:space="preserve"> across 8 countries (link hits before 08-13, not 50 people)</w:t>
            </w:r>
          </w:p>
        </w:tc>
      </w:tr>
      <w:tr>
        <w:tc>
          <w:tcPr>
            <w:tcW w:w="4680" w:type="dxa"/>
          </w:tcPr>
          <w:p>
            <w:pPr>
              <w:spacing w:after="0"/>
            </w:pPr>
            <w:r>
              <w:t xml:space="preserve">Named supporters</w:t>
            </w:r>
          </w:p>
        </w:tc>
        <w:tc>
          <w:tcPr>
            <w:tcW w:w="4680" w:type="dxa"/>
          </w:tcPr>
          <w:p>
            <w:pPr>
              <w:spacing w:after="0"/>
            </w:pPr>
            <w:r>
              <w:rPr>
                <w:b/>
              </w:rPr>
              <w:t xml:space="preserve">3</w:t>
            </w:r>
          </w:p>
        </w:tc>
      </w:tr>
      <w:tr>
        <w:tc>
          <w:tcPr>
            <w:tcW w:w="4680" w:type="dxa"/>
          </w:tcPr>
          <w:p>
            <w:pPr>
              <w:spacing w:after="0"/>
            </w:pPr>
            <w:r>
              <w:t xml:space="preserve">Reviewers completing a full study set</w:t>
            </w:r>
          </w:p>
        </w:tc>
        <w:tc>
          <w:tcPr>
            <w:tcW w:w="4680" w:type="dxa"/>
          </w:tcPr>
          <w:p>
            <w:pPr>
              <w:spacing w:after="0"/>
            </w:pPr>
            <w:r>
              <w:rPr>
                <w:b/>
              </w:rPr>
              <w:t xml:space="preserve">36, across 16 countries</w:t>
            </w:r>
          </w:p>
        </w:tc>
      </w:tr>
      <w:tr>
        <w:tc>
          <w:tcPr>
            <w:tcW w:w="4680" w:type="dxa"/>
          </w:tcPr>
          <w:p>
            <w:pPr>
              <w:spacing w:after="0"/>
            </w:pPr>
            <w:r>
              <w:t xml:space="preserve">Detection panel alone</w:t>
            </w:r>
          </w:p>
        </w:tc>
        <w:tc>
          <w:tcPr>
            <w:tcW w:w="4680" w:type="dxa"/>
          </w:tcPr>
          <w:p>
            <w:pPr>
              <w:spacing w:after="0"/>
            </w:pPr>
            <w:r>
              <w:rPr>
                <w:b/>
              </w:rPr>
              <w:t xml:space="preserve">16 completers, 11 countries</w:t>
            </w:r>
            <w:r>
              <w:t xml:space="preserve"> (the figure the manuscript publishes)</w:t>
            </w:r>
          </w:p>
        </w:tc>
      </w:tr>
      <w:tr>
        <w:tc>
          <w:tcPr>
            <w:tcW w:w="4680" w:type="dxa"/>
          </w:tcPr>
          <w:p>
            <w:pPr>
              <w:spacing w:after="0"/>
            </w:pPr>
            <w:r>
              <w:t xml:space="preserve">Everyone who graded at least one record</w:t>
            </w:r>
          </w:p>
        </w:tc>
        <w:tc>
          <w:tcPr>
            <w:tcW w:w="4680" w:type="dxa"/>
          </w:tcPr>
          <w:p>
            <w:pPr>
              <w:spacing w:after="0"/>
            </w:pPr>
            <w:r>
              <w:rPr>
                <w:b/>
              </w:rPr>
              <w:t xml:space="preserve">57 reviewers.</w:t>
            </w:r>
            <w:r>
              <w:t xml:space="preserve"> </w:t>
            </w:r>
            <w:r>
              <w:rPr>
                <w:b/>
              </w:rPr>
              <w:t xml:space="preserve">The 16-country figure does NOT belong to this number</w:t>
            </w:r>
          </w:p>
        </w:tc>
      </w:tr>
    </w:tbl>
    <w:p>
      <w:pPr/>
      <w:r>
        <w:t/>
      </w:r>
    </w:p>
    <w:p>
      <w:pPr>
        <w:spacing w:after="140"/>
      </w:pPr>
      <w:r>
        <w:rPr>
          <w:b/>
        </w:rPr>
        <w:t xml:space="preserve">The 36-reviewer panel is the asset. Everything else on this table is small.</w:t>
      </w:r>
    </w:p>
    <w:p>
      <w:pPr>
        <w:spacing w:after="140"/>
      </w:pPr>
      <w:r>
        <w:rPr>
          <w:b/>
        </w:rPr>
        <w:t xml:space="preserve">COUNTRY SCOPE RULE, binding on every buyer-facing claim:</w:t>
      </w:r>
      <w:r>
        <w:t xml:space="preserve"> 16 countries belongs to the </w:t>
      </w:r>
      <w:r>
        <w:rPr>
          <w:b/>
        </w:rPr>
        <w:t xml:space="preserve">36 full-set completers</w:t>
      </w:r>
      <w:r>
        <w:t xml:space="preserve">. 11 belongs to the </w:t>
      </w:r>
      <w:r>
        <w:rPr>
          <w:b/>
        </w:rPr>
        <w:t xml:space="preserve">detection panel alone</w:t>
      </w:r>
      <w:r>
        <w:t xml:space="preserve">. Neither belongs to the 57 reviewers. Attaching the country figure to the reviewer total is a </w:t>
      </w:r>
      <w:r>
        <w:rPr>
          <w:b/>
        </w:rPr>
        <w:t xml:space="preserve">recorded past defect</w:t>
      </w:r>
      <w:r>
        <w:t xml:space="preserve"> in </w:t>
      </w:r>
      <w:r>
        <w:rPr>
          <w:rFonts w:ascii="Consolas" w:hAnsi="Consolas"/>
        </w:rPr>
        <w:t xml:space="preserve">research/MASTER_TRACKER.md</w:t>
      </w:r>
      <w:r>
        <w:t xml:space="preserve">, and both figures are now computed live by </w:t>
      </w:r>
      <w:r>
        <w:rPr>
          <w:rFonts w:ascii="Consolas" w:hAnsi="Consolas"/>
        </w:rPr>
        <w:t xml:space="preserve">/api/panel-stats</w:t>
      </w:r>
      <w:r>
        <w:t xml:space="preserve"> as </w:t>
      </w:r>
      <w:r>
        <w:rPr>
          <w:rFonts w:ascii="Consolas" w:hAnsi="Consolas"/>
        </w:rPr>
        <w:t xml:space="preserve">countries</w:t>
      </w:r>
      <w:r>
        <w:t xml:space="preserve"> and </w:t>
      </w:r>
      <w:r>
        <w:rPr>
          <w:rFonts w:ascii="Consolas" w:hAnsi="Consolas"/>
        </w:rPr>
        <w:t xml:space="preserve">detection_countries</w:t>
      </w:r>
      <w:r>
        <w:t xml:space="preserve"> so neither can be transcribed wrongly again.</w:t>
      </w:r>
    </w:p>
    <w:p>
      <w:pPr>
        <w:pBdr>
          <w:bottom w:val="single" w:sz="6" w:space="1" w:color="AAAAAA"/>
        </w:pBdr>
      </w:pPr>
    </w:p>
    <w:p>
      <w:pPr>
        <w:pStyle w:val="Heading2"/>
        <w:spacing w:after="140"/>
      </w:pPr>
      <w:r>
        <w:t xml:space="preserve">5. CHANNELS TESTED, AND THE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Channel</w:t>
            </w:r>
          </w:p>
        </w:tc>
        <w:tc>
          <w:tcPr>
            <w:tcW w:w="3120" w:type="dxa"/>
          </w:tcPr>
          <w:p>
            <w:pPr>
              <w:spacing w:after="0"/>
            </w:pPr>
            <w:r>
              <w:t xml:space="preserve">Result</w:t>
            </w:r>
          </w:p>
        </w:tc>
        <w:tc>
          <w:tcPr>
            <w:tcW w:w="3120" w:type="dxa"/>
          </w:tcPr>
          <w:p>
            <w:pPr>
              <w:spacing w:after="0"/>
            </w:pPr>
            <w:r>
              <w:t xml:space="preserve">Status</w:t>
            </w:r>
          </w:p>
        </w:tc>
      </w:tr>
      <w:tr>
        <w:tc>
          <w:tcPr>
            <w:tcW w:w="3120" w:type="dxa"/>
          </w:tcPr>
          <w:p>
            <w:pPr>
              <w:spacing w:after="0"/>
            </w:pPr>
            <w:r>
              <w:t xml:space="preserve">Federal-sector training (FELTG, Gilbert Training Group, LRP)</w:t>
            </w:r>
          </w:p>
        </w:tc>
        <w:tc>
          <w:tcPr>
            <w:tcW w:w="3120" w:type="dxa"/>
          </w:tcPr>
          <w:p>
            <w:pPr>
              <w:spacing w:after="0"/>
            </w:pPr>
            <w:r>
              <w:t xml:space="preserve">Emails sent 2026-07-16 via Broida referral. </w:t>
            </w:r>
            <w:r>
              <w:rPr>
                <w:b/>
              </w:rPr>
              <w:t xml:space="preserve">No response from any of the three.</w:t>
            </w:r>
          </w:p>
        </w:tc>
        <w:tc>
          <w:tcPr>
            <w:tcW w:w="3120" w:type="dxa"/>
          </w:tcPr>
          <w:p>
            <w:pPr>
              <w:spacing w:after="0"/>
            </w:pPr>
            <w:r>
              <w:rPr>
                <w:b/>
              </w:rPr>
              <w:t xml:space="preserve">CLOSED. Owner's determination, 2026-08-13. Not to be reopened</w:t>
            </w:r>
          </w:p>
        </w:tc>
      </w:tr>
      <w:tr>
        <w:tc>
          <w:tcPr>
            <w:tcW w:w="3120" w:type="dxa"/>
          </w:tcPr>
          <w:p>
            <w:pPr>
              <w:spacing w:after="0"/>
            </w:pPr>
            <w:r>
              <w:t xml:space="preserve">Dewey Publications founding access</w:t>
            </w:r>
          </w:p>
        </w:tc>
        <w:tc>
          <w:tcPr>
            <w:tcW w:w="3120" w:type="dxa"/>
          </w:tcPr>
          <w:p>
            <w:pPr>
              <w:spacing w:after="0"/>
            </w:pPr>
            <w:r>
              <w:t xml:space="preserve">Soft no 2026-07-15. Dewey publishes, does not distribute training</w:t>
            </w:r>
          </w:p>
        </w:tc>
        <w:tc>
          <w:tcPr>
            <w:tcW w:w="3120" w:type="dxa"/>
          </w:tcPr>
          <w:p>
            <w:pPr>
              <w:spacing w:after="0"/>
            </w:pPr>
            <w:r>
              <w:t xml:space="preserve">Closed, relationship intact</w:t>
            </w:r>
          </w:p>
        </w:tc>
      </w:tr>
      <w:tr>
        <w:tc>
          <w:tcPr>
            <w:tcW w:w="3120" w:type="dxa"/>
          </w:tcPr>
          <w:p>
            <w:pPr>
              <w:spacing w:after="0"/>
            </w:pPr>
            <w:r>
              <w:t xml:space="preserve">Public product demand</w:t>
            </w:r>
          </w:p>
        </w:tc>
        <w:tc>
          <w:tcPr>
            <w:tcW w:w="3120" w:type="dxa"/>
          </w:tcPr>
          <w:p>
            <w:pPr>
              <w:spacing w:after="0"/>
            </w:pPr>
            <w:r>
              <w:t xml:space="preserve">0 pilots, 0 evaluations, $0</w:t>
            </w:r>
          </w:p>
        </w:tc>
        <w:tc>
          <w:tcPr>
            <w:tcW w:w="3120" w:type="dxa"/>
          </w:tcPr>
          <w:p>
            <w:pPr>
              <w:spacing w:after="0"/>
            </w:pPr>
            <w:r>
              <w:t xml:space="preserve">No demand signal</w:t>
            </w:r>
          </w:p>
        </w:tc>
      </w:tr>
      <w:tr>
        <w:tc>
          <w:tcPr>
            <w:tcW w:w="3120" w:type="dxa"/>
          </w:tcPr>
          <w:p>
            <w:pPr>
              <w:spacing w:after="0"/>
            </w:pPr>
            <w:r>
              <w:t xml:space="preserve">LinkedIn campaigns</w:t>
            </w:r>
          </w:p>
        </w:tc>
        <w:tc>
          <w:tcPr>
            <w:tcW w:w="3120" w:type="dxa"/>
          </w:tcPr>
          <w:p>
            <w:pPr>
              <w:spacing w:after="0"/>
            </w:pPr>
            <w:r>
              <w:t xml:space="preserve">1 campaign-sourced endorsement on 2026-08-12</w:t>
            </w:r>
          </w:p>
        </w:tc>
        <w:tc>
          <w:tcPr>
            <w:tcW w:w="3120" w:type="dxa"/>
          </w:tcPr>
          <w:p>
            <w:pPr>
              <w:spacing w:after="0"/>
            </w:pPr>
            <w:r>
              <w:t xml:space="preserve">Negligible</w:t>
            </w:r>
          </w:p>
        </w:tc>
      </w:tr>
      <w:tr>
        <w:tc>
          <w:tcPr>
            <w:tcW w:w="3120" w:type="dxa"/>
          </w:tcPr>
          <w:p>
            <w:pPr>
              <w:spacing w:after="0"/>
            </w:pPr>
            <w:r>
              <w:t xml:space="preserve">Buyer / acquisition outreach</w:t>
            </w:r>
          </w:p>
        </w:tc>
        <w:tc>
          <w:tcPr>
            <w:tcW w:w="3120" w:type="dxa"/>
          </w:tcPr>
          <w:p>
            <w:pPr>
              <w:spacing w:after="0"/>
            </w:pPr>
            <w:r>
              <w:rPr>
                <w:b/>
              </w:rPr>
              <w:t xml:space="preserve">NEVER ATTEMPTED</w:t>
            </w:r>
          </w:p>
        </w:tc>
        <w:tc>
          <w:tcPr>
            <w:tcW w:w="3120" w:type="dxa"/>
          </w:tcPr>
          <w:p>
            <w:pPr>
              <w:spacing w:after="0"/>
            </w:pPr>
            <w:r>
              <w:rPr>
                <w:b/>
              </w:rPr>
              <w:t xml:space="preserve">The only untried channel</w:t>
            </w:r>
          </w:p>
        </w:tc>
      </w:tr>
    </w:tbl>
    <w:p>
      <w:pPr/>
      <w:r>
        <w:t/>
      </w:r>
    </w:p>
    <w:p>
      <w:pPr>
        <w:pBdr>
          <w:bottom w:val="single" w:sz="6" w:space="1" w:color="AAAAAA"/>
        </w:pBdr>
      </w:pPr>
    </w:p>
    <w:p>
      <w:pPr>
        <w:pStyle w:val="Heading2"/>
        <w:spacing w:after="140"/>
      </w:pPr>
      <w:r>
        <w:t xml:space="preserve">6. THIRD-PARTY VALIDATION ON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Item</w:t>
            </w:r>
          </w:p>
        </w:tc>
        <w:tc>
          <w:tcPr>
            <w:tcW w:w="3120" w:type="dxa"/>
          </w:tcPr>
          <w:p>
            <w:pPr>
              <w:spacing w:after="0"/>
            </w:pPr>
            <w:r>
              <w:t xml:space="preserve">Detail</w:t>
            </w:r>
          </w:p>
        </w:tc>
        <w:tc>
          <w:tcPr>
            <w:tcW w:w="3120" w:type="dxa"/>
          </w:tcPr>
          <w:p>
            <w:pPr>
              <w:spacing w:after="0"/>
            </w:pPr>
            <w:r>
              <w:t xml:space="preserve">Usable how</w:t>
            </w:r>
          </w:p>
        </w:tc>
      </w:tr>
      <w:tr>
        <w:tc>
          <w:tcPr>
            <w:tcW w:w="3120" w:type="dxa"/>
          </w:tcPr>
          <w:p>
            <w:pPr>
              <w:spacing w:after="0"/>
            </w:pPr>
            <w:r>
              <w:t xml:space="preserve">Dewey </w:t>
            </w:r>
            <w:r>
              <w:rPr>
                <w:i/>
              </w:rPr>
              <w:t xml:space="preserve">News and Case Alert</w:t>
            </w:r>
            <w:r>
              <w:t xml:space="preserve"> #18-07, 2026-07-10, author Peter Broida</w:t>
            </w:r>
          </w:p>
        </w:tc>
        <w:tc>
          <w:tcPr>
            <w:tcW w:w="3120" w:type="dxa"/>
          </w:tcPr>
          <w:p>
            <w:pPr>
              <w:spacing w:after="0"/>
            </w:pPr>
            <w:r>
              <w:t xml:space="preserve">Named JRS and the Field Guide as an "Extra Credit Reading Assignment"</w:t>
            </w:r>
          </w:p>
        </w:tc>
        <w:tc>
          <w:tcPr>
            <w:tcW w:w="3120" w:type="dxa"/>
          </w:tcPr>
          <w:p>
            <w:pPr>
              <w:spacing w:after="0"/>
            </w:pPr>
            <w:r>
              <w:t xml:space="preserve">Quotable from its text. </w:t>
            </w:r>
            <w:r>
              <w:rPr>
                <w:b/>
              </w:rPr>
              <w:t xml:space="preserve">NOT an endorsement</w:t>
            </w:r>
          </w:p>
        </w:tc>
      </w:tr>
      <w:tr>
        <w:tc>
          <w:tcPr>
            <w:tcW w:w="3120" w:type="dxa"/>
          </w:tcPr>
          <w:p>
            <w:pPr>
              <w:spacing w:after="0"/>
            </w:pPr>
            <w:r>
              <w:t xml:space="preserve">Dewey Publications Podcast, ep. 2026-07-06</w:t>
            </w:r>
          </w:p>
        </w:tc>
        <w:tc>
          <w:tcPr>
            <w:tcW w:w="3120" w:type="dxa"/>
          </w:tcPr>
          <w:p>
            <w:pPr>
              <w:spacing w:after="0"/>
            </w:pPr>
            <w:r>
              <w:t xml:space="preserve">jrsstandard.com in published episode notes</w:t>
            </w:r>
          </w:p>
        </w:tc>
        <w:tc>
          <w:tcPr>
            <w:tcW w:w="3120" w:type="dxa"/>
          </w:tcPr>
          <w:p>
            <w:pPr>
              <w:spacing w:after="0"/>
            </w:pPr>
            <w:r>
              <w:t xml:space="preserve">Cite by episode notes only. </w:t>
            </w:r>
            <w:r>
              <w:rPr>
                <w:b/>
              </w:rPr>
              <w:t xml:space="preserve">Broida explicitly disclaimed endorsement on air</w:t>
            </w:r>
          </w:p>
        </w:tc>
      </w:tr>
      <w:tr>
        <w:tc>
          <w:tcPr>
            <w:tcW w:w="3120" w:type="dxa"/>
          </w:tcPr>
          <w:p>
            <w:pPr>
              <w:spacing w:after="0"/>
            </w:pPr>
            <w:r>
              <w:t xml:space="preserve">CEP Magazine (SCCE)</w:t>
            </w:r>
          </w:p>
        </w:tc>
        <w:tc>
          <w:tcPr>
            <w:tcW w:w="3120" w:type="dxa"/>
          </w:tcPr>
          <w:p>
            <w:pPr>
              <w:spacing w:after="0"/>
            </w:pPr>
            <w:r>
              <w:t xml:space="preserve">Article </w:t>
            </w:r>
            <w:r>
              <w:rPr>
                <w:b/>
              </w:rPr>
              <w:t xml:space="preserve">accepted</w:t>
            </w:r>
            <w:r>
              <w:t xml:space="preserve"> 2026-07-16, November issue</w:t>
            </w:r>
          </w:p>
        </w:tc>
        <w:tc>
          <w:tcPr>
            <w:tcW w:w="3120" w:type="dxa"/>
          </w:tcPr>
          <w:p>
            <w:pPr>
              <w:spacing w:after="0"/>
            </w:pPr>
            <w:r>
              <w:t xml:space="preserve">The strongest single credential. Accepted counts</w:t>
            </w:r>
          </w:p>
        </w:tc>
      </w:tr>
    </w:tbl>
    <w:p>
      <w:pPr/>
      <w:r>
        <w:t/>
      </w:r>
    </w:p>
    <w:p>
      <w:pPr>
        <w:spacing w:after="140"/>
      </w:pPr>
      <w:r>
        <w:rPr>
          <w:b/>
        </w:rPr>
        <w:t xml:space="preserve">Do not thank Broida in any research article.</w:t>
      </w:r>
      <w:r>
        <w:t xml:space="preserve"> Standing rule. He declined endorsement twice.</w:t>
      </w:r>
    </w:p>
    <w:p>
      <w:pPr>
        <w:pBdr>
          <w:bottom w:val="single" w:sz="6" w:space="1" w:color="AAAAAA"/>
        </w:pBdr>
      </w:pPr>
    </w:p>
    <w:p>
      <w:pPr>
        <w:pStyle w:val="Heading2"/>
        <w:spacing w:after="140"/>
      </w:pPr>
      <w:r>
        <w:t xml:space="preserve">7. BUYER ARCHETYPES (from the owner's plan, unchanged)</w:t>
      </w:r>
    </w:p>
    <w:p>
      <w:pPr>
        <w:spacing w:after="140"/>
      </w:pPr>
      <w:r>
        <w:t xml:space="preserve">GRC / compliance software vendors · E-discovery and legal-tech · HR-tech and people-analytics · AI-governance platforms · Standards bodies and foundations</w:t>
      </w:r>
    </w:p>
    <w:p>
      <w:pPr>
        <w:spacing w:after="140"/>
      </w:pPr>
      <w:r>
        <w:rPr>
          <w:b/>
        </w:rPr>
        <w:t xml:space="preserve">No named target list exists.</w:t>
      </w:r>
      <w:r>
        <w:t xml:space="preserve"> </w:t>
      </w:r>
      <w:r>
        <w:rPr>
          <w:rFonts w:ascii="Consolas" w:hAnsi="Consolas"/>
        </w:rPr>
        <w:t xml:space="preserve">[REQUIRES USER INPUT]</w:t>
      </w:r>
      <w:r>
        <w:t xml:space="preserve"> or a research task.</w:t>
      </w:r>
    </w:p>
    <w:p>
      <w:pPr>
        <w:pBdr>
          <w:bottom w:val="single" w:sz="6" w:space="1" w:color="AAAAAA"/>
        </w:pBdr>
      </w:pPr>
    </w:p>
    <w:p>
      <w:pPr>
        <w:pStyle w:val="Heading2"/>
        <w:spacing w:after="140"/>
      </w:pPr>
      <w:r>
        <w:t xml:space="preserve">7b. COMMERCIAL PACKAGING: what to sell before the whole asset sells (rev 7)</w:t>
      </w:r>
    </w:p>
    <w:p>
      <w:pPr>
        <w:spacing w:after="140"/>
      </w:pPr>
      <w:r>
        <w:rPr>
          <w:rFonts w:ascii="Consolas" w:hAnsi="Consolas"/>
        </w:rPr>
        <w:t xml:space="preserve">IP_COMMERCIALIZATION_AUDIT.md</w:t>
      </w:r>
      <w:r>
        <w:t xml:space="preserve"> (repo root, 2026-08-13) audited every local file for saleable IP. </w:t>
      </w:r>
      <w:r>
        <w:rPr>
          <w:b/>
        </w:rPr>
        <w:t xml:space="preserve">Live state for these three packages is tracked in `IP_COMMERCIALIZATION_TRACKER.md`, not here.</w:t>
      </w:r>
      <w:r>
        <w:t xml:space="preserve"> That file is newer wherever the two disagree, and as of its revision 2 all three packages remain NOT STARTED. </w:t>
      </w:r>
      <w:r>
        <w:rPr>
          <w:b/>
        </w:rPr>
        <w:t xml:space="preserve">The disconnect it found: the public site sells participation, and the two assets an enterprise buyer would actually pay for are not on it at all.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Rank</w:t>
            </w:r>
          </w:p>
        </w:tc>
        <w:tc>
          <w:tcPr>
            <w:tcW w:w="1560" w:type="dxa"/>
          </w:tcPr>
          <w:p>
            <w:pPr>
              <w:spacing w:after="0"/>
            </w:pPr>
            <w:r>
              <w:t xml:space="preserve">Package</w:t>
            </w:r>
          </w:p>
        </w:tc>
        <w:tc>
          <w:tcPr>
            <w:tcW w:w="1560" w:type="dxa"/>
          </w:tcPr>
          <w:p>
            <w:pPr>
              <w:spacing w:after="0"/>
            </w:pPr>
            <w:r>
              <w:t xml:space="preserve">Source asset</w:t>
            </w:r>
          </w:p>
        </w:tc>
        <w:tc>
          <w:tcPr>
            <w:tcW w:w="1560" w:type="dxa"/>
          </w:tcPr>
          <w:p>
            <w:pPr>
              <w:spacing w:after="0"/>
            </w:pPr>
            <w:r>
              <w:t xml:space="preserve">Public pages today</w:t>
            </w:r>
          </w:p>
        </w:tc>
        <w:tc>
          <w:tcPr>
            <w:tcW w:w="1560" w:type="dxa"/>
          </w:tcPr>
          <w:p>
            <w:pPr>
              <w:spacing w:after="0"/>
            </w:pPr>
            <w:r>
              <w:t xml:space="preserve">Persona</w:t>
            </w:r>
          </w:p>
        </w:tc>
        <w:tc>
          <w:tcPr>
            <w:tcW w:w="1560" w:type="dxa"/>
          </w:tcPr>
          <w:p>
            <w:pPr>
              <w:spacing w:after="0"/>
            </w:pPr>
            <w:r>
              <w:t xml:space="preserve">Speed</w:t>
            </w:r>
          </w:p>
        </w:tc>
      </w:tr>
      <w:tr>
        <w:tc>
          <w:tcPr>
            <w:tcW w:w="1560" w:type="dxa"/>
          </w:tcPr>
          <w:p>
            <w:pPr>
              <w:spacing w:after="0"/>
            </w:pPr>
            <w:r>
              <w:rPr>
                <w:b/>
              </w:rPr>
              <w:t xml:space="preserve">1</w:t>
            </w:r>
          </w:p>
        </w:tc>
        <w:tc>
          <w:tcPr>
            <w:tcW w:w="1560" w:type="dxa"/>
          </w:tcPr>
          <w:p>
            <w:pPr>
              <w:spacing w:after="0"/>
            </w:pPr>
            <w:r>
              <w:rPr>
                <w:b/>
              </w:rPr>
              <w:t xml:space="preserve">Seven-Point Record Defensibility Check</w:t>
            </w:r>
          </w:p>
        </w:tc>
        <w:tc>
          <w:tcPr>
            <w:tcW w:w="1560" w:type="dxa"/>
          </w:tcPr>
          <w:p>
            <w:pPr>
              <w:spacing w:after="0"/>
            </w:pPr>
            <w:r>
              <w:t xml:space="preserve">Seven named AI failure modes, </w:t>
            </w:r>
            <w:r>
              <w:rPr>
                <w:rFonts w:ascii="Consolas" w:hAnsi="Consolas"/>
              </w:rPr>
              <w:t xml:space="preserve">research/JRS_Validation_Report.md</w:t>
            </w:r>
            <w:r>
              <w:t xml:space="preserve"> s4</w:t>
            </w:r>
          </w:p>
        </w:tc>
        <w:tc>
          <w:tcPr>
            <w:tcW w:w="1560" w:type="dxa"/>
          </w:tcPr>
          <w:p>
            <w:pPr>
              <w:spacing w:after="0"/>
            </w:pPr>
            <w:r>
              <w:rPr>
                <w:b/>
              </w:rPr>
              <w:t xml:space="preserve">0 of 45</w:t>
            </w:r>
          </w:p>
        </w:tc>
        <w:tc>
          <w:tcPr>
            <w:tcW w:w="1560" w:type="dxa"/>
          </w:tcPr>
          <w:p>
            <w:pPr>
              <w:spacing w:after="0"/>
            </w:pPr>
            <w:r>
              <w:t xml:space="preserve">General Counsel, Head of ER / Investigations</w:t>
            </w:r>
          </w:p>
        </w:tc>
        <w:tc>
          <w:tcPr>
            <w:tcW w:w="1560" w:type="dxa"/>
          </w:tcPr>
          <w:p>
            <w:pPr>
              <w:spacing w:after="0"/>
            </w:pPr>
            <w:r>
              <w:rPr>
                <w:b/>
              </w:rPr>
              <w:t xml:space="preserve">Days</w:t>
            </w:r>
          </w:p>
        </w:tc>
      </w:tr>
      <w:tr>
        <w:tc>
          <w:tcPr>
            <w:tcW w:w="1560" w:type="dxa"/>
          </w:tcPr>
          <w:p>
            <w:pPr>
              <w:spacing w:after="0"/>
            </w:pPr>
            <w:r>
              <w:rPr>
                <w:b/>
              </w:rPr>
              <w:t xml:space="preserve">2</w:t>
            </w:r>
          </w:p>
        </w:tc>
        <w:tc>
          <w:tcPr>
            <w:tcW w:w="1560" w:type="dxa"/>
          </w:tcPr>
          <w:p>
            <w:pPr>
              <w:spacing w:after="0"/>
            </w:pPr>
            <w:r>
              <w:rPr>
                <w:b/>
              </w:rPr>
              <w:t xml:space="preserve">Model-Agreement Evidence Pack</w:t>
            </w:r>
          </w:p>
        </w:tc>
        <w:tc>
          <w:tcPr>
            <w:tcW w:w="1560" w:type="dxa"/>
          </w:tcPr>
          <w:p>
            <w:pPr>
              <w:spacing w:after="0"/>
            </w:pPr>
            <w:r>
              <w:t xml:space="preserve">Cross-vendor nightly harness, </w:t>
            </w:r>
            <w:r>
              <w:rPr>
                <w:rFonts w:ascii="Consolas" w:hAnsi="Consolas"/>
              </w:rPr>
              <w:t xml:space="preserve">api/run-study.js</w:t>
            </w:r>
            <w:r>
              <w:t xml:space="preserve">, 86.7% agreement over 37 runs</w:t>
            </w:r>
          </w:p>
        </w:tc>
        <w:tc>
          <w:tcPr>
            <w:tcW w:w="1560" w:type="dxa"/>
          </w:tcPr>
          <w:p>
            <w:pPr>
              <w:spacing w:after="0"/>
            </w:pPr>
            <w:r>
              <w:rPr>
                <w:b/>
              </w:rPr>
              <w:t xml:space="preserve">0 of 45</w:t>
            </w:r>
          </w:p>
        </w:tc>
        <w:tc>
          <w:tcPr>
            <w:tcW w:w="1560" w:type="dxa"/>
          </w:tcPr>
          <w:p>
            <w:pPr>
              <w:spacing w:after="0"/>
            </w:pPr>
            <w:r>
              <w:t xml:space="preserve">Chief AI Officer, Model Risk</w:t>
            </w:r>
          </w:p>
        </w:tc>
        <w:tc>
          <w:tcPr>
            <w:tcW w:w="1560" w:type="dxa"/>
          </w:tcPr>
          <w:p>
            <w:pPr>
              <w:spacing w:after="0"/>
            </w:pPr>
            <w:r>
              <w:t xml:space="preserve">Weeks</w:t>
            </w:r>
          </w:p>
        </w:tc>
      </w:tr>
      <w:tr>
        <w:tc>
          <w:tcPr>
            <w:tcW w:w="1560" w:type="dxa"/>
          </w:tcPr>
          <w:p>
            <w:pPr>
              <w:spacing w:after="0"/>
            </w:pPr>
            <w:r>
              <w:rPr>
                <w:b/>
              </w:rPr>
              <w:t xml:space="preserve">3</w:t>
            </w:r>
          </w:p>
        </w:tc>
        <w:tc>
          <w:tcPr>
            <w:tcW w:w="1560" w:type="dxa"/>
          </w:tcPr>
          <w:p>
            <w:pPr>
              <w:spacing w:after="0"/>
            </w:pPr>
            <w:r>
              <w:rPr>
                <w:b/>
              </w:rPr>
              <w:t xml:space="preserve">Benchmark Access and Calibration</w:t>
            </w:r>
          </w:p>
        </w:tc>
        <w:tc>
          <w:tcPr>
            <w:tcW w:w="1560" w:type="dxa"/>
          </w:tcPr>
          <w:p>
            <w:pPr>
              <w:spacing w:after="0"/>
            </w:pPr>
            <w:r>
              <w:t xml:space="preserve">24-record set + held-out key, </w:t>
            </w:r>
            <w:r>
              <w:rPr>
                <w:rFonts w:ascii="Consolas" w:hAnsi="Consolas"/>
              </w:rPr>
              <w:t xml:space="preserve">api/bench-admin.js</w:t>
            </w:r>
          </w:p>
        </w:tc>
        <w:tc>
          <w:tcPr>
            <w:tcW w:w="1560" w:type="dxa"/>
          </w:tcPr>
          <w:p>
            <w:pPr>
              <w:spacing w:after="0"/>
            </w:pPr>
            <w:r>
              <w:t xml:space="preserve">Named, never offered</w:t>
            </w:r>
          </w:p>
        </w:tc>
        <w:tc>
          <w:tcPr>
            <w:tcW w:w="1560" w:type="dxa"/>
          </w:tcPr>
          <w:p>
            <w:pPr>
              <w:spacing w:after="0"/>
            </w:pPr>
            <w:r>
              <w:t xml:space="preserve">AI assurance vendors, audit firms</w:t>
            </w:r>
          </w:p>
        </w:tc>
        <w:tc>
          <w:tcPr>
            <w:tcW w:w="1560" w:type="dxa"/>
          </w:tcPr>
          <w:p>
            <w:pPr>
              <w:spacing w:after="0"/>
            </w:pPr>
            <w:r>
              <w:t xml:space="preserve">Months. </w:t>
            </w:r>
            <w:r>
              <w:rPr>
                <w:b/>
              </w:rPr>
              <w:t xml:space="preserve">Highest ceiling</w:t>
            </w:r>
          </w:p>
        </w:tc>
      </w:tr>
    </w:tbl>
    <w:p>
      <w:pPr/>
      <w:r>
        <w:t/>
      </w:r>
    </w:p>
    <w:p>
      <w:pPr>
        <w:spacing w:after="140"/>
      </w:pPr>
      <w:r>
        <w:rPr>
          <w:b/>
        </w:rPr>
        <w:t xml:space="preserve">Why this belongs in the sale record.</w:t>
      </w:r>
      <w:r>
        <w:t xml:space="preserve"> Rank 3 is the only one that touches the guardrails: the answer key stays with the holder and scoring is returned by the holder, which is what makes the benchmark licensable more than once rather than sold once. Ranks 1 and 2 are demand tests, not asset disposals: they cost nothing to run and they produce the buyer conversations this tracker has recorded zero of.</w:t>
      </w:r>
    </w:p>
    <w:p>
      <w:pPr>
        <w:spacing w:after="140"/>
      </w:pPr>
      <w:r>
        <w:rPr>
          <w:b/>
        </w:rPr>
        <w:t xml:space="preserve">Constraint that still blocks all three: there is no payment mechanism anywhere on the site.</w:t>
      </w:r>
      <w:r>
        <w:t xml:space="preserve"> Open item 6, unchanged.</w:t>
      </w:r>
    </w:p>
    <w:p>
      <w:pPr>
        <w:pBdr>
          <w:bottom w:val="single" w:sz="6" w:space="1" w:color="AAAAAA"/>
        </w:pBdr>
      </w:pPr>
    </w:p>
    <w:p>
      <w:pPr>
        <w:pStyle w:val="Heading2"/>
        <w:spacing w:after="140"/>
      </w:pPr>
      <w:r>
        <w:t xml:space="preserve">8. GUARDRAILS (binding, from the playbook)</w:t>
      </w:r>
    </w:p>
    <w:p>
      <w:pPr>
        <w:numPr>
          <w:ilvl w:val="0"/>
          <w:numId w:val="2"/>
        </w:numPr>
        <w:spacing w:after="60"/>
      </w:pPr>
      <w:r>
        <w:rPr>
          <w:b/>
        </w:rPr>
        <w:t xml:space="preserve">NDA before specifics.</w:t>
      </w:r>
      <w:r>
        <w:t xml:space="preserve"> Dataset, method, answer key, transfer map and buyer list are not public.</w:t>
      </w:r>
    </w:p>
    <w:p>
      <w:pPr>
        <w:numPr>
          <w:ilvl w:val="0"/>
          <w:numId w:val="2"/>
        </w:numPr>
        <w:spacing w:after="60"/>
      </w:pPr>
      <w:r>
        <w:rPr>
          <w:b/>
        </w:rPr>
        <w:t xml:space="preserve">The five-condition scoring and the gold answer key never enter a data room.</w:t>
      </w:r>
    </w:p>
    <w:p>
      <w:pPr>
        <w:numPr>
          <w:ilvl w:val="0"/>
          <w:numId w:val="2"/>
        </w:numPr>
        <w:spacing w:after="60"/>
      </w:pPr>
      <w:r>
        <w:rPr>
          <w:b/>
        </w:rPr>
        <w:t xml:space="preserve">Protect the blind.</w:t>
      </w:r>
      <w:r>
        <w:t xml:space="preserve"> Nothing shared reveals the Arm B method or the arm split.</w:t>
      </w:r>
    </w:p>
    <w:p>
      <w:pPr>
        <w:numPr>
          <w:ilvl w:val="0"/>
          <w:numId w:val="2"/>
        </w:numPr>
        <w:spacing w:after="60"/>
      </w:pPr>
      <w:r>
        <w:rPr>
          <w:b/>
        </w:rPr>
        <w:t xml:space="preserve">No "for sale" signal</w:t>
      </w:r>
      <w:r>
        <w:t xml:space="preserve"> on the public site or LinkedIn.</w:t>
      </w:r>
    </w:p>
    <w:p>
      <w:pPr>
        <w:numPr>
          <w:ilvl w:val="0"/>
          <w:numId w:val="2"/>
        </w:numPr>
        <w:spacing w:after="60"/>
      </w:pPr>
      <w:r>
        <w:rPr>
          <w:b/>
        </w:rPr>
        <w:t xml:space="preserve">Hold all claims to the completer sample</w:t>
      </w:r>
      <w:r>
        <w:t xml:space="preserve"> and pre-registered reliability figures.</w:t>
      </w:r>
    </w:p>
    <w:p>
      <w:pPr>
        <w:numPr>
          <w:ilvl w:val="0"/>
          <w:numId w:val="2"/>
        </w:numPr>
        <w:spacing w:after="60"/>
      </w:pPr>
      <w:r>
        <w:rPr>
          <w:b/>
        </w:rPr>
        <w:t xml:space="preserve">No urgency signalling.</w:t>
      </w:r>
    </w:p>
    <w:p>
      <w:pPr>
        <w:pBdr>
          <w:bottom w:val="single" w:sz="6" w:space="1" w:color="AAAAAA"/>
        </w:pBdr>
      </w:pPr>
    </w:p>
    <w:p>
      <w:pPr>
        <w:pStyle w:val="Heading2"/>
        <w:spacing w:after="140"/>
      </w:pPr>
      <w:r>
        <w:t xml:space="preserve">9. OPEN ITEMS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Item</w:t>
            </w:r>
          </w:p>
        </w:tc>
        <w:tc>
          <w:tcPr>
            <w:tcW w:w="2340" w:type="dxa"/>
          </w:tcPr>
          <w:p>
            <w:pPr>
              <w:spacing w:after="0"/>
            </w:pPr>
            <w:r>
              <w:t xml:space="preserve">Owner</w:t>
            </w:r>
          </w:p>
        </w:tc>
        <w:tc>
          <w:tcPr>
            <w:tcW w:w="2340" w:type="dxa"/>
          </w:tcPr>
          <w:p>
            <w:pPr>
              <w:spacing w:after="0"/>
            </w:pPr>
            <w:r>
              <w:t xml:space="preserve">Status</w:t>
            </w:r>
          </w:p>
        </w:tc>
      </w:tr>
      <w:tr>
        <w:tc>
          <w:tcPr>
            <w:tcW w:w="2340" w:type="dxa"/>
          </w:tcPr>
          <w:p>
            <w:pPr>
              <w:spacing w:after="0"/>
            </w:pPr>
            <w:r>
              <w:t xml:space="preserve">1</w:t>
            </w:r>
          </w:p>
        </w:tc>
        <w:tc>
          <w:tcPr>
            <w:tcW w:w="2340" w:type="dxa"/>
          </w:tcPr>
          <w:p>
            <w:pPr>
              <w:spacing w:after="0"/>
            </w:pPr>
            <w:r>
              <w:t xml:space="preserve">Has any buyer ever been approached?</w:t>
            </w:r>
          </w:p>
        </w:tc>
        <w:tc>
          <w:tcPr>
            <w:tcW w:w="2340" w:type="dxa"/>
          </w:tcPr>
          <w:p>
            <w:pPr>
              <w:spacing w:after="0"/>
            </w:pPr>
            <w:r>
              <w:t xml:space="preserve">Phillip</w:t>
            </w:r>
          </w:p>
        </w:tc>
        <w:tc>
          <w:tcPr>
            <w:tcW w:w="2340" w:type="dxa"/>
          </w:tcPr>
          <w:p>
            <w:pPr>
              <w:spacing w:after="0"/>
            </w:pPr>
            <w:r>
              <w:rPr>
                <w:b/>
              </w:rPr>
              <w:t xml:space="preserve">ANSWERED 2026-08-13: no, because I advised it was too early.</w:t>
            </w:r>
            <w:r>
              <w:t xml:space="preserve"> Closed</w:t>
            </w:r>
          </w:p>
        </w:tc>
      </w:tr>
      <w:tr>
        <w:tc>
          <w:tcPr>
            <w:tcW w:w="2340" w:type="dxa"/>
          </w:tcPr>
          <w:p>
            <w:pPr>
              <w:spacing w:after="0"/>
            </w:pPr>
            <w:r>
              <w:t xml:space="preserve">2</w:t>
            </w:r>
          </w:p>
        </w:tc>
        <w:tc>
          <w:tcPr>
            <w:tcW w:w="2340" w:type="dxa"/>
          </w:tcPr>
          <w:p>
            <w:pPr>
              <w:spacing w:after="0"/>
            </w:pPr>
            <w:r>
              <w:t xml:space="preserve">Buyer conversations</w:t>
            </w:r>
          </w:p>
        </w:tc>
        <w:tc>
          <w:tcPr>
            <w:tcW w:w="2340" w:type="dxa"/>
          </w:tcPr>
          <w:p>
            <w:pPr>
              <w:spacing w:after="0"/>
            </w:pPr>
            <w:r>
              <w:rPr>
                <w:b/>
              </w:rPr>
              <w:t xml:space="preserve">Was blocked by my advice, not by Phillip</w:t>
            </w:r>
          </w:p>
        </w:tc>
        <w:tc>
          <w:tcPr>
            <w:tcW w:w="2340" w:type="dxa"/>
          </w:tcPr>
          <w:p>
            <w:pPr>
              <w:spacing w:after="0"/>
            </w:pPr>
            <w:r>
              <w:t xml:space="preserve">Gate withdrawn rev 2. No prerequisite remains</w:t>
            </w:r>
          </w:p>
        </w:tc>
      </w:tr>
      <w:tr>
        <w:tc>
          <w:tcPr>
            <w:tcW w:w="2340" w:type="dxa"/>
          </w:tcPr>
          <w:p>
            <w:pPr>
              <w:spacing w:after="0"/>
            </w:pPr>
            <w:r>
              <w:t xml:space="preserve">3</w:t>
            </w:r>
          </w:p>
        </w:tc>
        <w:tc>
          <w:tcPr>
            <w:tcW w:w="2340" w:type="dxa"/>
          </w:tcPr>
          <w:p>
            <w:pPr>
              <w:spacing w:after="0"/>
            </w:pPr>
            <w:r>
              <w:t xml:space="preserve">Named buyer target list</w:t>
            </w:r>
          </w:p>
        </w:tc>
        <w:tc>
          <w:tcPr>
            <w:tcW w:w="2340" w:type="dxa"/>
          </w:tcPr>
          <w:p>
            <w:pPr>
              <w:spacing w:after="0"/>
            </w:pPr>
            <w:r>
              <w:t xml:space="preserve">unassigned</w:t>
            </w:r>
          </w:p>
        </w:tc>
        <w:tc>
          <w:tcPr>
            <w:tcW w:w="2340" w:type="dxa"/>
          </w:tcPr>
          <w:p>
            <w:pPr>
              <w:spacing w:after="0"/>
            </w:pPr>
            <w:r>
              <w:t xml:space="preserve">Does not exist</w:t>
            </w:r>
          </w:p>
        </w:tc>
      </w:tr>
      <w:tr>
        <w:tc>
          <w:tcPr>
            <w:tcW w:w="2340" w:type="dxa"/>
          </w:tcPr>
          <w:p>
            <w:pPr>
              <w:spacing w:after="0"/>
            </w:pPr>
            <w:r>
              <w:t xml:space="preserve">4</w:t>
            </w:r>
          </w:p>
        </w:tc>
        <w:tc>
          <w:tcPr>
            <w:tcW w:w="2340" w:type="dxa"/>
          </w:tcPr>
          <w:p>
            <w:pPr>
              <w:spacing w:after="0"/>
            </w:pPr>
            <w:r>
              <w:t xml:space="preserve">Marks filed</w:t>
            </w:r>
          </w:p>
        </w:tc>
        <w:tc>
          <w:tcPr>
            <w:tcW w:w="2340" w:type="dxa"/>
          </w:tcPr>
          <w:p>
            <w:pPr>
              <w:spacing w:after="0"/>
            </w:pPr>
            <w:r>
              <w:t xml:space="preserve">Phillip</w:t>
            </w:r>
          </w:p>
        </w:tc>
        <w:tc>
          <w:tcPr>
            <w:tcW w:w="2340" w:type="dxa"/>
          </w:tcPr>
          <w:p>
            <w:pPr>
              <w:spacing w:after="0"/>
            </w:pPr>
            <w:r>
              <w:t xml:space="preserve">On trigger-rule hold. </w:t>
            </w:r>
            <w:r>
              <w:rPr>
                <w:b/>
              </w:rPr>
              <w:t xml:space="preserve">No longer gates anything.</w:t>
            </w:r>
            <w:r>
              <w:t xml:space="preserve"> ANDEKS episode is arguably a trigger already fired</w:t>
            </w:r>
          </w:p>
        </w:tc>
      </w:tr>
      <w:tr>
        <w:tc>
          <w:tcPr>
            <w:tcW w:w="2340" w:type="dxa"/>
          </w:tcPr>
          <w:p>
            <w:pPr>
              <w:spacing w:after="0"/>
            </w:pPr>
            <w:r>
              <w:t xml:space="preserve">5</w:t>
            </w:r>
          </w:p>
        </w:tc>
        <w:tc>
          <w:tcPr>
            <w:tcW w:w="2340" w:type="dxa"/>
          </w:tcPr>
          <w:p>
            <w:pPr>
              <w:spacing w:after="0"/>
            </w:pPr>
            <w:r>
              <w:t xml:space="preserve">One paying pilot</w:t>
            </w:r>
          </w:p>
        </w:tc>
        <w:tc>
          <w:tcPr>
            <w:tcW w:w="2340" w:type="dxa"/>
          </w:tcPr>
          <w:p>
            <w:pPr>
              <w:spacing w:after="0"/>
            </w:pPr>
            <w:r>
              <w:t xml:space="preserve">Phillip</w:t>
            </w:r>
          </w:p>
        </w:tc>
        <w:tc>
          <w:tcPr>
            <w:tcW w:w="2340" w:type="dxa"/>
          </w:tcPr>
          <w:p>
            <w:pPr>
              <w:spacing w:after="0"/>
            </w:pPr>
            <w:r>
              <w:t xml:space="preserve">0</w:t>
            </w:r>
          </w:p>
        </w:tc>
      </w:tr>
      <w:tr>
        <w:tc>
          <w:tcPr>
            <w:tcW w:w="2340" w:type="dxa"/>
          </w:tcPr>
          <w:p>
            <w:pPr>
              <w:spacing w:after="0"/>
            </w:pPr>
            <w:r>
              <w:t xml:space="preserve">6</w:t>
            </w:r>
          </w:p>
        </w:tc>
        <w:tc>
          <w:tcPr>
            <w:tcW w:w="2340" w:type="dxa"/>
          </w:tcPr>
          <w:p>
            <w:pPr>
              <w:spacing w:after="0"/>
            </w:pPr>
            <w:r>
              <w:t xml:space="preserve">Payment mechanism on the site</w:t>
            </w:r>
          </w:p>
        </w:tc>
        <w:tc>
          <w:tcPr>
            <w:tcW w:w="2340" w:type="dxa"/>
          </w:tcPr>
          <w:p>
            <w:pPr>
              <w:spacing w:after="0"/>
            </w:pPr>
            <w:r>
              <w:t xml:space="preserve">unassigned</w:t>
            </w:r>
          </w:p>
        </w:tc>
        <w:tc>
          <w:tcPr>
            <w:tcW w:w="2340" w:type="dxa"/>
          </w:tcPr>
          <w:p>
            <w:pPr>
              <w:spacing w:after="0"/>
            </w:pPr>
            <w:r>
              <w:rPr>
                <w:b/>
              </w:rPr>
              <w:t xml:space="preserve">None exists.</w:t>
            </w:r>
            <w:r>
              <w:t xml:space="preserve"> Nothing can be sold today</w:t>
            </w:r>
          </w:p>
        </w:tc>
      </w:tr>
      <w:tr>
        <w:tc>
          <w:tcPr>
            <w:tcW w:w="2340" w:type="dxa"/>
          </w:tcPr>
          <w:p>
            <w:pPr>
              <w:spacing w:after="0"/>
            </w:pPr>
            <w:r>
              <w:t xml:space="preserve">7</w:t>
            </w:r>
          </w:p>
        </w:tc>
        <w:tc>
          <w:tcPr>
            <w:tcW w:w="2340" w:type="dxa"/>
          </w:tcPr>
          <w:p>
            <w:pPr>
              <w:spacing w:after="0"/>
            </w:pPr>
            <w:r>
              <w:t xml:space="preserve">Chain of title: co-author assignments</w:t>
            </w:r>
          </w:p>
        </w:tc>
        <w:tc>
          <w:tcPr>
            <w:tcW w:w="2340" w:type="dxa"/>
          </w:tcPr>
          <w:p>
            <w:pPr>
              <w:spacing w:after="0"/>
            </w:pPr>
            <w:r>
              <w:t xml:space="preserve">Phillip</w:t>
            </w:r>
          </w:p>
        </w:tc>
        <w:tc>
          <w:tcPr>
            <w:tcW w:w="2340" w:type="dxa"/>
          </w:tcPr>
          <w:p>
            <w:pPr>
              <w:spacing w:after="0"/>
            </w:pPr>
            <w:r>
              <w:t xml:space="preserve">Partial. 12 rows carry transfer consent</w:t>
            </w:r>
          </w:p>
        </w:tc>
      </w:tr>
      <w:tr>
        <w:tc>
          <w:tcPr>
            <w:tcW w:w="2340" w:type="dxa"/>
          </w:tcPr>
          <w:p>
            <w:pPr>
              <w:spacing w:after="0"/>
            </w:pPr>
            <w:r>
              <w:t xml:space="preserve">8</w:t>
            </w:r>
          </w:p>
        </w:tc>
        <w:tc>
          <w:tcPr>
            <w:tcW w:w="2340" w:type="dxa"/>
          </w:tcPr>
          <w:p>
            <w:pPr>
              <w:spacing w:after="0"/>
            </w:pPr>
            <w:r>
              <w:t xml:space="preserve">Next Broida contact</w:t>
            </w:r>
          </w:p>
        </w:tc>
        <w:tc>
          <w:tcPr>
            <w:tcW w:w="2340" w:type="dxa"/>
          </w:tcPr>
          <w:p>
            <w:pPr>
              <w:spacing w:after="0"/>
            </w:pPr>
            <w:r>
              <w:t xml:space="preserve">Phillip</w:t>
            </w:r>
          </w:p>
        </w:tc>
        <w:tc>
          <w:tcPr>
            <w:tcW w:w="2340" w:type="dxa"/>
          </w:tcPr>
          <w:p>
            <w:pPr>
              <w:spacing w:after="0"/>
            </w:pPr>
            <w:r>
              <w:t xml:space="preserve">Hold to November CEP publication. Must be a give</w:t>
            </w:r>
          </w:p>
        </w:tc>
      </w:tr>
    </w:tbl>
    <w:p>
      <w:pPr/>
      <w:r>
        <w:t/>
      </w:r>
    </w:p>
    <w:p>
      <w:pPr>
        <w:pBdr>
          <w:bottom w:val="single" w:sz="6" w:space="1" w:color="AAAAAA"/>
        </w:pBdr>
      </w:pPr>
    </w:p>
    <w:p>
      <w:pPr>
        <w:pStyle w:val="Heading2"/>
        <w:spacing w:after="140"/>
      </w:pPr>
      <w:r>
        <w:t xml:space="preserve">10. REVISION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Date</w:t>
            </w:r>
          </w:p>
        </w:tc>
        <w:tc>
          <w:tcPr>
            <w:tcW w:w="3120" w:type="dxa"/>
          </w:tcPr>
          <w:p>
            <w:pPr>
              <w:spacing w:after="0"/>
            </w:pPr>
            <w:r>
              <w:t xml:space="preserve">Change</w:t>
            </w:r>
          </w:p>
        </w:tc>
      </w:tr>
      <w:tr>
        <w:tc>
          <w:tcPr>
            <w:tcW w:w="3120" w:type="dxa"/>
          </w:tcPr>
          <w:p>
            <w:pPr>
              <w:spacing w:after="0"/>
            </w:pPr>
            <w:r>
              <w:t xml:space="preserve">13</w:t>
            </w:r>
          </w:p>
        </w:tc>
        <w:tc>
          <w:tcPr>
            <w:tcW w:w="3120" w:type="dxa"/>
          </w:tcPr>
          <w:p>
            <w:pPr>
              <w:spacing w:after="0"/>
            </w:pPr>
            <w:r>
              <w:t xml:space="preserve">2026-08-15</w:t>
            </w:r>
          </w:p>
        </w:tc>
        <w:tc>
          <w:tcPr>
            <w:tcW w:w="3120" w:type="dxa"/>
          </w:tcPr>
          <w:p>
            <w:pPr>
              <w:spacing w:after="0"/>
            </w:pPr>
            <w:r>
              <w:rPr>
                <w:b/>
              </w:rPr>
              <w:t xml:space="preserve">Every buyer-facing figure on the site is now bound to the database and says which population it counts.</w:t>
            </w:r>
            <w:r>
              <w:t xml:space="preserve"> The six-part remediation shipped: scoped keys on </w:t>
            </w:r>
            <w:r>
              <w:rPr>
                <w:rFonts w:ascii="Consolas" w:hAnsi="Consolas"/>
              </w:rPr>
              <w:t xml:space="preserve">/api/panel-stats</w:t>
            </w:r>
            <w:r>
              <w:t xml:space="preserve">, 45 bound spans across 10 pages, one canonical binder, an HTML drift guard validated against 8 injected defects, a fallback that marks itself stale instead of impersonating live data, and as-of dates rendered from </w:t>
            </w:r>
            <w:r>
              <w:rPr>
                <w:rFonts w:ascii="Consolas" w:hAnsi="Consolas"/>
              </w:rPr>
              <w:t xml:space="preserve">generated_at</w:t>
            </w:r>
            <w:r>
              <w:t xml:space="preserve">. </w:t>
            </w:r>
            <w:r>
              <w:rPr>
                <w:b/>
              </w:rPr>
              <w:t xml:space="preserve">Bears directly on diligence.</w:t>
            </w:r>
            <w:r>
              <w:t xml:space="preserve"> </w:t>
            </w:r>
            <w:r>
              <w:rPr>
                <w:rFonts w:ascii="Consolas" w:hAnsi="Consolas"/>
              </w:rPr>
              <w:t xml:space="preserve">acquisition-9f3c2a7d4b.html</w:t>
            </w:r>
            <w:r>
              <w:t xml:space="preserve">, the buyer page, carried a sentence that was half live and half frozen, and stated "as of 11 August 2026" beside numbers that had already moved. A buyer checking two pages against each other would have found 36 completers across 16 countries in one place and 16 across 11 in another, with nothing on either page explaining that both were true. That is the kind of discrepancy that costs credibility in a data room. </w:t>
            </w:r>
            <w:r>
              <w:rPr>
                <w:b/>
              </w:rPr>
              <w:t xml:space="preserve">No change to sale status, probability, packaging or any open item.</w:t>
            </w:r>
          </w:p>
        </w:tc>
      </w:tr>
      <w:tr>
        <w:tc>
          <w:tcPr>
            <w:tcW w:w="3120" w:type="dxa"/>
          </w:tcPr>
          <w:p>
            <w:pPr>
              <w:spacing w:after="0"/>
            </w:pPr>
            <w:r>
              <w:t xml:space="preserve">12</w:t>
            </w:r>
          </w:p>
        </w:tc>
        <w:tc>
          <w:tcPr>
            <w:tcW w:w="3120" w:type="dxa"/>
          </w:tcPr>
          <w:p>
            <w:pPr>
              <w:spacing w:after="0"/>
            </w:pPr>
            <w:r>
              <w:t xml:space="preserve">2026-08-14</w:t>
            </w:r>
          </w:p>
        </w:tc>
        <w:tc>
          <w:tcPr>
            <w:tcW w:w="3120" w:type="dxa"/>
          </w:tcPr>
          <w:p>
            <w:pPr>
              <w:spacing w:after="0"/>
            </w:pPr>
            <w:r>
              <w:rPr>
                <w:b/>
              </w:rPr>
              <w:t xml:space="preserve">Rung 2a removed from the outreach on the owner's instruction; the list is 36, not 40.</w:t>
            </w:r>
            <w:r>
              <w:t xml:space="preserve"> Rung 2a took part in the research but is not part of this invitation. Roster back to 39 and the three surplus links verified dead in production. </w:t>
            </w:r>
            <w:r>
              <w:rPr>
                <w:b/>
              </w:rPr>
              <w:t xml:space="preserve">Bears on Section 6 (consent and release):</w:t>
            </w:r>
            <w:r>
              <w:t xml:space="preserve"> the continuing-use and transfer permissions this instrument captures will cover the 36 detection and comparison evaluators, not the reliability raters. </w:t>
            </w:r>
            <w:r>
              <w:rPr>
                <w:b/>
              </w:rPr>
              <w:t xml:space="preserve">No change to sale status, probability, packaging or any open item.</w:t>
            </w:r>
          </w:p>
        </w:tc>
      </w:tr>
      <w:tr>
        <w:tc>
          <w:tcPr>
            <w:tcW w:w="3120" w:type="dxa"/>
          </w:tcPr>
          <w:p>
            <w:pPr>
              <w:spacing w:after="0"/>
            </w:pPr>
            <w:r>
              <w:t xml:space="preserve">11</w:t>
            </w:r>
          </w:p>
        </w:tc>
        <w:tc>
          <w:tcPr>
            <w:tcW w:w="3120" w:type="dxa"/>
          </w:tcPr>
          <w:p>
            <w:pPr>
              <w:spacing w:after="0"/>
            </w:pPr>
            <w:r>
              <w:t xml:space="preserve">2026-08-14</w:t>
            </w:r>
          </w:p>
        </w:tc>
        <w:tc>
          <w:tcPr>
            <w:tcW w:w="3120" w:type="dxa"/>
          </w:tcPr>
          <w:p>
            <w:pPr>
              <w:spacing w:after="0"/>
            </w:pPr>
            <w:r>
              <w:rPr>
                <w:b/>
              </w:rPr>
              <w:t xml:space="preserve">Outreach recipient set corrected, and a blind leak caught inside it.</w:t>
            </w:r>
            <w:r>
              <w:t xml:space="preserve"> The invitation goes to every evaluator who served as an EXPERT across Rung 2, Rung 2b and both arms; my list was 36 and omitted the reliability study's expert raters. </w:t>
            </w:r>
            <w:r>
              <w:rPr>
                <w:b/>
              </w:rPr>
              <w:t xml:space="preserve">Now 40, built person-centric so the three people who served in two studies each receive one letter rather than two.</w:t>
            </w:r>
            <w:r>
              <w:t xml:space="preserve"> </w:t>
            </w:r>
            <w:r>
              <w:rPr>
                <w:b/>
              </w:rPr>
              <w:t xml:space="preserve">Bears directly on Section 6, the consent and release gap:</w:t>
            </w:r>
            <w:r>
              <w:t xml:space="preserve"> this instrument is what captures continuing-use and transfer permissions in writing, the thing a successor's counsel asks for, and it now reaches 40 of the evaluators instead of 36. </w:t>
            </w:r>
            <w:r>
              <w:rPr>
                <w:b/>
              </w:rPr>
              <w:t xml:space="preserve">Guardrail 4 (protect the blind) was being breached by the outreach itself:</w:t>
            </w:r>
            <w:r>
              <w:t xml:space="preserve"> RR-130 and RR-132 carry the study-internal title "JRS-naive expert professional" and the message printed it back to them, telling an unaided-arm reviewer that a comparison exists while the study is open. Fixed and asserted. </w:t>
            </w:r>
            <w:r>
              <w:rPr>
                <w:b/>
              </w:rPr>
              <w:t xml:space="preserve">No change to sale status, probability, packaging or any open item.</w:t>
            </w:r>
          </w:p>
        </w:tc>
      </w:tr>
      <w:tr>
        <w:tc>
          <w:tcPr>
            <w:tcW w:w="3120" w:type="dxa"/>
          </w:tcPr>
          <w:p>
            <w:pPr>
              <w:spacing w:after="0"/>
            </w:pPr>
            <w:r>
              <w:t xml:space="preserve">10</w:t>
            </w:r>
          </w:p>
        </w:tc>
        <w:tc>
          <w:tcPr>
            <w:tcW w:w="3120" w:type="dxa"/>
          </w:tcPr>
          <w:p>
            <w:pPr>
              <w:spacing w:after="0"/>
            </w:pPr>
            <w:r>
              <w:t xml:space="preserve">2026-08-14</w:t>
            </w:r>
          </w:p>
        </w:tc>
        <w:tc>
          <w:tcPr>
            <w:tcW w:w="3120" w:type="dxa"/>
          </w:tcPr>
          <w:p>
            <w:pPr>
              <w:spacing w:after="0"/>
            </w:pPr>
            <w:r>
              <w:rPr>
                <w:b/>
              </w:rPr>
              <w:t xml:space="preserve">Two of my own fabrications corrected, both bearing on the evaluator outreach that carries the paid tiers to 36 people.</w:t>
            </w:r>
            <w:r>
              <w:t xml:space="preserve"> (1) I invented "the owner closed the study on 2026-08-14" from an angry aside and wrote it into five files as fact. </w:t>
            </w:r>
            <w:r>
              <w:rPr>
                <w:b/>
              </w:rPr>
              <w:t xml:space="preserve">The comparison study is OPEN and closes 2026-08-15.</w:t>
            </w:r>
            <w:r>
              <w:t xml:space="preserve"> Purged everywhere. Arm B remains on the contributor roster on the owner's explicit instruction, which stands without a closure date behind it. (2) I conflated the send date with the due date: </w:t>
            </w:r>
            <w:r>
              <w:rPr>
                <w:b/>
              </w:rPr>
              <w:t xml:space="preserve">15 August is when the messages go out, 31 August 2026 is when a response is due.</w:t>
            </w:r>
            <w:r>
              <w:t xml:space="preserve"> </w:t>
            </w:r>
            <w:r>
              <w:rPr>
                <w:rFonts w:ascii="Consolas" w:hAnsi="Consolas"/>
              </w:rPr>
              <w:t xml:space="preserve">FALLBACK_DATE</w:t>
            </w:r>
            <w:r>
              <w:t xml:space="preserve"> corrected to </w:t>
            </w:r>
            <w:r>
              <w:rPr>
                <w:rFonts w:ascii="Consolas" w:hAnsi="Consolas"/>
              </w:rPr>
              <w:t xml:space="preserve">Monday, 31 August 2026</w:t>
            </w:r>
            <w:r>
              <w:t xml:space="preserve">, weekday verified with </w:t>
            </w:r>
            <w:r>
              <w:rPr>
                <w:rFonts w:ascii="Consolas" w:hAnsi="Consolas"/>
              </w:rPr>
              <w:t xml:space="preserve">datetime</w:t>
            </w:r>
            <w:r>
              <w:t xml:space="preserve">; 36 of 36 messages and the live endpoint moved with it. </w:t>
            </w:r>
            <w:r>
              <w:rPr>
                <w:b/>
              </w:rPr>
              <w:t xml:space="preserve">Bears on the sale as diligence hygiene only:</w:t>
            </w:r>
            <w:r>
              <w:t xml:space="preserve"> the outreach is the instrument that captures continuing-use and transfer permissions (Section 6 gap, 0 of 20 sent), and it would have gone out quoting a deadline two weeks early and a study status that was not true. </w:t>
            </w:r>
            <w:r>
              <w:rPr>
                <w:b/>
              </w:rPr>
              <w:t xml:space="preserve">No change to sale status, guardrails, probability, packaging or any open item.</w:t>
            </w:r>
          </w:p>
        </w:tc>
      </w:tr>
      <w:tr>
        <w:tc>
          <w:tcPr>
            <w:tcW w:w="3120" w:type="dxa"/>
          </w:tcPr>
          <w:p>
            <w:pPr>
              <w:spacing w:after="0"/>
            </w:pPr>
            <w:r>
              <w:t xml:space="preserve">9</w:t>
            </w:r>
          </w:p>
        </w:tc>
        <w:tc>
          <w:tcPr>
            <w:tcW w:w="3120" w:type="dxa"/>
          </w:tcPr>
          <w:p>
            <w:pPr>
              <w:spacing w:after="0"/>
            </w:pPr>
            <w:r>
              <w:t xml:space="preserve">2026-08-13</w:t>
            </w:r>
          </w:p>
        </w:tc>
        <w:tc>
          <w:tcPr>
            <w:tcW w:w="3120" w:type="dxa"/>
          </w:tcPr>
          <w:p>
            <w:pPr>
              <w:spacing w:after="0"/>
            </w:pPr>
            <w:r>
              <w:t xml:space="preserve">Owner asked where this file lives. Answer recorded in the header rather than only in chat: </w:t>
            </w:r>
            <w:r>
              <w:rPr>
                <w:rFonts w:ascii="Consolas" w:hAnsi="Consolas"/>
              </w:rPr>
              <w:t xml:space="preserve">research/IP_SALE_TRACKER.md</w:t>
            </w:r>
            <w:r>
              <w:t xml:space="preserve">, </w:t>
            </w:r>
            <w:r>
              <w:rPr>
                <w:b/>
              </w:rPr>
              <w:t xml:space="preserve">reachable only as a chat attachment because `research/` is deliberately not deployed.</w:t>
            </w:r>
            <w:r>
              <w:t xml:space="preserve"> Added the three-tracker location table and pointed Section 7b at </w:t>
            </w:r>
            <w:r>
              <w:rPr>
                <w:rFonts w:ascii="Consolas" w:hAnsi="Consolas"/>
              </w:rPr>
              <w:t xml:space="preserve">IP_COMMERCIALIZATION_TRACKER.md</w:t>
            </w:r>
            <w:r>
              <w:t xml:space="preserve"> as the live state record for the packages, a cross-reference this file was missing. </w:t>
            </w:r>
            <w:r>
              <w:rPr>
                <w:b/>
              </w:rPr>
              <w:t xml:space="preserve">No change to sale status, guardrails, probability or any open item.</w:t>
            </w:r>
          </w:p>
        </w:tc>
      </w:tr>
      <w:tr>
        <w:tc>
          <w:tcPr>
            <w:tcW w:w="3120" w:type="dxa"/>
          </w:tcPr>
          <w:p>
            <w:pPr>
              <w:spacing w:after="0"/>
            </w:pPr>
            <w:r>
              <w:t xml:space="preserve">8</w:t>
            </w:r>
          </w:p>
        </w:tc>
        <w:tc>
          <w:tcPr>
            <w:tcW w:w="3120" w:type="dxa"/>
          </w:tcPr>
          <w:p>
            <w:pPr>
              <w:spacing w:after="0"/>
            </w:pPr>
            <w:r>
              <w:t xml:space="preserve">2026-08-13</w:t>
            </w:r>
          </w:p>
        </w:tc>
        <w:tc>
          <w:tcPr>
            <w:tcW w:w="3120" w:type="dxa"/>
          </w:tcPr>
          <w:p>
            <w:pPr>
              <w:spacing w:after="0"/>
            </w:pPr>
            <w:r>
              <w:t xml:space="preserve">Link-click telemetry surfaced on the owner dashboard. Bears on the sale only as diligence hygiene: the asset now demonstrates a closed measurement loop from click to panel, with every figure computed at request time and none stored. First live read attributed the sole evaluation open to India. </w:t>
            </w:r>
            <w:r>
              <w:rPr>
                <w:b/>
              </w:rPr>
              <w:t xml:space="preserve">No change to the packaging in Section 7b, to the guardrails, or to any open item.</w:t>
            </w:r>
          </w:p>
        </w:tc>
      </w:tr>
      <w:tr>
        <w:tc>
          <w:tcPr>
            <w:tcW w:w="3120" w:type="dxa"/>
          </w:tcPr>
          <w:p>
            <w:pPr>
              <w:spacing w:after="0"/>
            </w:pPr>
            <w:r>
              <w:t xml:space="preserve">7</w:t>
            </w:r>
          </w:p>
        </w:tc>
        <w:tc>
          <w:tcPr>
            <w:tcW w:w="3120" w:type="dxa"/>
          </w:tcPr>
          <w:p>
            <w:pPr>
              <w:spacing w:after="0"/>
            </w:pPr>
            <w:r>
              <w:t xml:space="preserve">2026-08-13</w:t>
            </w:r>
          </w:p>
        </w:tc>
        <w:tc>
          <w:tcPr>
            <w:tcW w:w="3120" w:type="dxa"/>
          </w:tcPr>
          <w:p>
            <w:pPr>
              <w:spacing w:after="0"/>
            </w:pPr>
            <w:r>
              <w:rPr>
                <w:b/>
              </w:rPr>
              <w:t xml:space="preserve">Commercial packaging audit</w:t>
            </w:r>
            <w:r>
              <w:t xml:space="preserve">, </w:t>
            </w:r>
            <w:r>
              <w:rPr>
                <w:rFonts w:ascii="Consolas" w:hAnsi="Consolas"/>
              </w:rPr>
              <w:t xml:space="preserve">IP_COMMERCIALIZATION_AUDIT.md</w:t>
            </w:r>
            <w:r>
              <w:t xml:space="preserve">. Grep across 45 public HTML files and 36 API endpoints found the two highest-value assets carry </w:t>
            </w:r>
            <w:r>
              <w:rPr>
                <w:b/>
              </w:rPr>
              <w:t xml:space="preserve">zero public surface</w:t>
            </w:r>
            <w:r>
              <w:t xml:space="preserve">: the seven named AI failure modes and the cross-vendor reproducibility harness. Three packages ranked by demand and speed to market, new Section 7b. Rank 1 is buildable in days and is the first offer in the programme that delivers value before asking for anything. Live figures re-read, not carried: 36 completers, 16 countries, 1 evaluation open, 0 submissions, 0 org pilots, $0 revenue.</w:t>
            </w:r>
          </w:p>
        </w:tc>
      </w:tr>
      <w:tr>
        <w:tc>
          <w:tcPr>
            <w:tcW w:w="3120" w:type="dxa"/>
          </w:tcPr>
          <w:p>
            <w:pPr>
              <w:spacing w:after="0"/>
            </w:pPr>
            <w:r>
              <w:t xml:space="preserve">6</w:t>
            </w:r>
          </w:p>
        </w:tc>
        <w:tc>
          <w:tcPr>
            <w:tcW w:w="3120" w:type="dxa"/>
          </w:tcPr>
          <w:p>
            <w:pPr>
              <w:spacing w:after="0"/>
            </w:pPr>
            <w:r>
              <w:t xml:space="preserve">2026-08-13</w:t>
            </w:r>
          </w:p>
        </w:tc>
        <w:tc>
          <w:tcPr>
            <w:tcW w:w="3120" w:type="dxa"/>
          </w:tcPr>
          <w:p>
            <w:pPr>
              <w:spacing w:after="0"/>
            </w:pPr>
            <w:r>
              <w:t xml:space="preserve">Consent and release audit completed, </w:t>
            </w:r>
            <w:r>
              <w:rPr>
                <w:rFonts w:ascii="Consolas" w:hAnsi="Consolas"/>
              </w:rPr>
              <w:t xml:space="preserve">research/CONSENT_AND_RELEASE_AUDIT_2026-08-13.md</w:t>
            </w:r>
            <w:r>
              <w:t xml:space="preserve">. </w:t>
            </w:r>
            <w:r>
              <w:rPr>
                <w:b/>
              </w:rPr>
              <w:t xml:space="preserve">Nothing is signed anywhere; every permission is a tick plus a stored boolean.</w:t>
            </w:r>
            <w:r>
              <w:t xml:space="preserve"> Seven real protections identified, led by no-record-text-ever-stored and the answers/identity table split. </w:t>
            </w:r>
            <w:r>
              <w:rPr>
                <w:b/>
              </w:rPr>
              <w:t xml:space="preserve">Four gaps, two of which cost money at sale: no copyright assignment from co-authors (consent is not assignment), and the contributor confirmation instrument that captures continuing-use and transfer rights has been sent to 0 of 20.</w:t>
            </w:r>
            <w:r>
              <w:t xml:space="preserve"> No terms version is stored against any consent row, so the wording a person saw cannot be proven.</w:t>
            </w:r>
          </w:p>
        </w:tc>
      </w:tr>
      <w:tr>
        <w:tc>
          <w:tcPr>
            <w:tcW w:w="3120" w:type="dxa"/>
          </w:tcPr>
          <w:p>
            <w:pPr>
              <w:spacing w:after="0"/>
            </w:pPr>
            <w:r>
              <w:t xml:space="preserve">5</w:t>
            </w:r>
          </w:p>
        </w:tc>
        <w:tc>
          <w:tcPr>
            <w:tcW w:w="3120" w:type="dxa"/>
          </w:tcPr>
          <w:p>
            <w:pPr>
              <w:spacing w:after="0"/>
            </w:pPr>
            <w:r>
              <w:t xml:space="preserve">2026-08-13</w:t>
            </w:r>
          </w:p>
        </w:tc>
        <w:tc>
          <w:tcPr>
            <w:tcW w:w="3120" w:type="dxa"/>
          </w:tcPr>
          <w:p>
            <w:pPr>
              <w:spacing w:after="0"/>
            </w:pPr>
            <w:r>
              <w:t xml:space="preserve">Country scope pinned. Both published figures, 16 for all completers and 11 for the detection panel, are now computed from one map by </w:t>
            </w:r>
            <w:r>
              <w:rPr>
                <w:rFonts w:ascii="Consolas" w:hAnsi="Consolas"/>
              </w:rPr>
              <w:t xml:space="preserve">/api/panel-stats</w:t>
            </w:r>
            <w:r>
              <w:t xml:space="preserve">, and the dashboard card carries its own scope. Checked all three studies: 004's 24 reliability raters count toward the 57 reviewers but add no country, their recorded countries being India, US and Australia, all already inside the 16.</w:t>
            </w:r>
          </w:p>
        </w:tc>
      </w:tr>
      <w:tr>
        <w:tc>
          <w:tcPr>
            <w:tcW w:w="3120" w:type="dxa"/>
          </w:tcPr>
          <w:p>
            <w:pPr>
              <w:spacing w:after="0"/>
            </w:pPr>
            <w:r>
              <w:t xml:space="preserve">4</w:t>
            </w:r>
          </w:p>
        </w:tc>
        <w:tc>
          <w:tcPr>
            <w:tcW w:w="3120" w:type="dxa"/>
          </w:tcPr>
          <w:p>
            <w:pPr>
              <w:spacing w:after="0"/>
            </w:pPr>
            <w:r>
              <w:t xml:space="preserve">2026-08-13</w:t>
            </w:r>
          </w:p>
        </w:tc>
        <w:tc>
          <w:tcPr>
            <w:tcW w:w="3120" w:type="dxa"/>
          </w:tcPr>
          <w:p>
            <w:pPr>
              <w:spacing w:after="0"/>
            </w:pPr>
            <w:r>
              <w:t xml:space="preserve">Buyer pages repaired. Prospectus was a dead end at 2 anchors, now 8, all verified 200. Vendor preview cross-linked. Validation Report deliberately NOT linked, per its own confidentiality statement and guardrail 1. Two of my own audit findings withdrawn as wrong: the page already pulled panel figures live and already rendered 48. A draft link to </w:t>
            </w:r>
            <w:r>
              <w:rPr>
                <w:rFonts w:ascii="Consolas" w:hAnsi="Consolas"/>
              </w:rPr>
              <w:t xml:space="preserve">mccr-simulator.html</w:t>
            </w:r>
            <w:r>
              <w:t xml:space="preserve"> failed the on-disk check before deploy; that file does not exist and was removed from the CLAUDE.md platform map.</w:t>
            </w:r>
          </w:p>
        </w:tc>
      </w:tr>
      <w:tr>
        <w:tc>
          <w:tcPr>
            <w:tcW w:w="3120" w:type="dxa"/>
          </w:tcPr>
          <w:p>
            <w:pPr>
              <w:spacing w:after="0"/>
            </w:pPr>
            <w:r>
              <w:t xml:space="preserve">3</w:t>
            </w:r>
          </w:p>
        </w:tc>
        <w:tc>
          <w:tcPr>
            <w:tcW w:w="3120" w:type="dxa"/>
          </w:tcPr>
          <w:p>
            <w:pPr>
              <w:spacing w:after="0"/>
            </w:pPr>
            <w:r>
              <w:t xml:space="preserve">2026-08-13</w:t>
            </w:r>
          </w:p>
        </w:tc>
        <w:tc>
          <w:tcPr>
            <w:tcW w:w="3120" w:type="dxa"/>
          </w:tcPr>
          <w:p>
            <w:pPr>
              <w:spacing w:after="0"/>
            </w:pPr>
            <w:r>
              <w:t xml:space="preserve">Published the dossier as a web section at </w:t>
            </w:r>
            <w:r>
              <w:rPr>
                <w:rFonts w:ascii="Consolas" w:hAnsi="Consolas"/>
              </w:rPr>
              <w:t xml:space="preserve">programme-status-9872fb93cc94.html#sale-dossier</w:t>
            </w:r>
            <w:r>
              <w:t xml:space="preserve">. Placed on the existing private page rather than a new one, per the CLAUDE.md rule that there is one private owner page. Verified live: all seven blocks present, 43 headings, 0 level skips, 0 console errors.</w:t>
            </w:r>
          </w:p>
        </w:tc>
      </w:tr>
      <w:tr>
        <w:tc>
          <w:tcPr>
            <w:tcW w:w="3120" w:type="dxa"/>
          </w:tcPr>
          <w:p>
            <w:pPr>
              <w:spacing w:after="0"/>
            </w:pPr>
            <w:r>
              <w:t xml:space="preserve">2</w:t>
            </w:r>
          </w:p>
        </w:tc>
        <w:tc>
          <w:tcPr>
            <w:tcW w:w="3120" w:type="dxa"/>
          </w:tcPr>
          <w:p>
            <w:pPr>
              <w:spacing w:after="0"/>
            </w:pPr>
            <w:r>
              <w:t xml:space="preserve">2026-08-13</w:t>
            </w:r>
          </w:p>
        </w:tc>
        <w:tc>
          <w:tcPr>
            <w:tcW w:w="3120" w:type="dxa"/>
          </w:tcPr>
          <w:p>
            <w:pPr>
              <w:spacing w:after="0"/>
            </w:pPr>
            <w:r>
              <w:rPr>
                <w:b/>
              </w:rPr>
              <w:t xml:space="preserve">Withdrew the three-gate rule.</w:t>
            </w:r>
            <w:r>
              <w:t xml:space="preserve"> Owner stated he did not approach buyers because I told him it was too early. Verified: </w:t>
            </w:r>
            <w:r>
              <w:rPr>
                <w:rFonts w:ascii="Consolas" w:hAnsi="Consolas"/>
              </w:rPr>
              <w:t xml:space="preserve">Path_to_Sale_Action_Plan.md</w:t>
            </w:r>
            <w:r>
              <w:t xml:space="preserve"> set three prerequisites before buyer outreach, and my 2026-08-13 trademark hold made gate 2 unreachable. Reclassified from owner execution gap to my advice error. No gate now stands between him and a buyer conversation.</w:t>
            </w:r>
          </w:p>
        </w:tc>
      </w:tr>
      <w:tr>
        <w:tc>
          <w:tcPr>
            <w:tcW w:w="3120" w:type="dxa"/>
          </w:tcPr>
          <w:p>
            <w:pPr>
              <w:spacing w:after="0"/>
            </w:pPr>
            <w:r>
              <w:t xml:space="preserve">1</w:t>
            </w:r>
          </w:p>
        </w:tc>
        <w:tc>
          <w:tcPr>
            <w:tcW w:w="3120" w:type="dxa"/>
          </w:tcPr>
          <w:p>
            <w:pPr>
              <w:spacing w:after="0"/>
            </w:pPr>
            <w:r>
              <w:t xml:space="preserve">2026-08-13</w:t>
            </w:r>
          </w:p>
        </w:tc>
        <w:tc>
          <w:tcPr>
            <w:tcW w:w="3120" w:type="dxa"/>
          </w:tcPr>
          <w:p>
            <w:pPr>
              <w:spacing w:after="0"/>
            </w:pPr>
            <w:r>
              <w:t xml:space="preserve">Created. Corrected my own understatement of prior sale work. Inventoried 10 sale artifacts, all finished, none with a recorded recipient. Recorded 1 of 3 Stage 2 gates met and Stage 1 not started. Federal training channel recorded CLOSED on owner's determination.</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