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 no longer prove it.</w:t>
      </w:r>
    </w:p>
    <w:p>
      <w:pPr>
        <w:spacing w:after="140"/>
      </w:pPr>
      <w:r>
        <w:t xml:space="preserve">Generative AI can make that gap easier to create. A drafted narrative may read as finished even when the material that would substantiate it has not been preserved. </w:t>
      </w:r>
      <w:r>
        <w:rPr>
          <w:b/>
        </w:rPr>
        <w:t xml:space="preserve">That is a forward-looking concern, not a finding of this study.</w:t>
      </w:r>
      <w:r>
        <w:t xml:space="preserve"> The corpus was not selected for AI involvement, </w:t>
      </w:r>
      <w:r>
        <w:rPr>
          <w:b/>
        </w:rPr>
        <w:t xml:space="preserve">no case in it is shown to have been AI-drafted</w:t>
      </w:r>
      <w:r>
        <w:t xml:space="preserve">, and the corpus spans decisions from 1973 to 2026, most of which predate generative drafting. The question tested is whether the review distinguishes records that can independently support their conclusions from records that cannot, regardless of how the record was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22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here typically quoted the original documentation rather than summarizing it.</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 These are rarer and readily identified.</w:t>
      </w:r>
    </w:p>
    <w:p>
      <w:pPr>
        <w:spacing w:after="140"/>
      </w:pPr>
      <w:r>
        <w:t xml:space="preserve">For AI-assisted drafting, Needs work may be the more difficult failure mode to detect. A Gap record looks thin to anyone who opens it. A Needs work record can read well, follow the template and still contain material claims that cannot be independently checked, which can make it harder to detect during routine file-by-file review and more consequential when the record is later examined.</w:t>
      </w:r>
    </w:p>
    <w:p>
      <w:pPr>
        <w:pStyle w:val="Heading2"/>
        <w:spacing w:after="140"/>
      </w:pPr>
      <w:r>
        <w:t xml:space="preserve">What was tested</w:t>
      </w:r>
    </w:p>
    <w:p>
      <w:pPr>
        <w:spacing w:after="140"/>
      </w:pPr>
      <w:r>
        <w:t xml:space="preserve">Twenty-two adjudicated employment and labour matters, from 22 distinct published decisions across seven adjudicating forums in two countries: the US Federal Labor Relations Authority (6), the New York Unemployment Insurance Appeal Board (4), the New York Appellate Division (4), UK Employment Tribunals (3), the US Supreme Court (2), the US Equal Employment Opportunity Commission (2), and the New York Committee on Open Government (1).</w:t>
      </w:r>
      <w:r>
        <w:rPr>
          <w:vertAlign w:val="superscript"/>
        </w:rPr>
        <w:t xml:space="preserve">1</w:t>
      </w:r>
    </w:p>
    <w:p>
      <w:pPr>
        <w:spacing w:after="140"/>
      </w:pPr>
      <w:r>
        <w:t xml:space="preserve">For each matter a practicing employment specialist read the published decision in full and applied the five conditions to the employer's contemporaneous documentation as reproduced within it.</w:t>
      </w:r>
      <w:r>
        <w:rPr>
          <w:vertAlign w:val="superscript"/>
        </w:rPr>
        <w:t xml:space="preserve">2</w:t>
      </w:r>
      <w:r>
        <w:t xml:space="preserve"> The classification was recorded before the documented outcome was consulted. The outcome and supporting citation were then entered from the decision.</w:t>
      </w:r>
    </w:p>
    <w:p>
      <w:pPr>
        <w:spacing w:after="140"/>
      </w:pPr>
      <w:r>
        <w:rPr>
          <w:b/>
        </w:rPr>
        <w:t xml:space="preserve">That design carries a circularity objection, and it is the first thing a careful reader should raise.</w:t>
      </w:r>
      <w:r>
        <w:t xml:space="preserve"> The decision both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rPr>
          <w:b/>
        </w:rPr>
        <w:t xml:space="preserve">The objection is not answered here and must not be treated as answered.</w:t>
      </w:r>
      <w:r>
        <w:t xml:space="preserve"> The association is consistent with a documentation deficiency an adjudicator also noticed, and equally consistent with reviewer influence from information in the decision. Separating those requires a design this study did not use: independent timestamping, a second blinded reader, or employer records obtained before adjudication.</w:t>
      </w:r>
    </w:p>
    <w:p>
      <w:pPr>
        <w:spacing w:after="140"/>
      </w:pPr>
      <w:r>
        <w:t xml:space="preserve">This is a single-practitioner field pilot: one qualified specialist, one caseload, applied inside an ordinary workload. The findings are reported at that level.</w:t>
      </w:r>
    </w:p>
    <w:p>
      <w:pPr>
        <w:spacing w:after="140"/>
      </w:pPr>
      <w:r>
        <w:t xml:space="preserve">The classifications were 13 Ready, 6 Needs work and 3 Gap. The documented outcomes were 7 sustained, 7 that did not survive review, 6 contested with no recorded disposition, and 2 adverse audit or compliance findings. The four categories are mutually exclusive and sum to 22.</w:t>
      </w:r>
    </w:p>
    <w:p>
      <w:pPr>
        <w:pStyle w:val="Heading2"/>
        <w:spacing w:after="140"/>
      </w:pPr>
      <w:r>
        <w:t xml:space="preserve">What was found</w:t>
      </w:r>
    </w:p>
    <w:p>
      <w:pPr>
        <w:spacing w:after="140"/>
      </w:pPr>
      <w:r>
        <w:t xml:space="preserve">Needs work and Gap are grouped, since both describe a record whose basis is incomplete. An adverse finding means a matter in which the employer's position did not survive review, or which drew an adverse audit or compliance finding.</w:t>
      </w:r>
      <w:r>
        <w:rPr>
          <w:vertAlign w:val="superscript"/>
        </w:rPr>
        <w:t xml:space="preserve">3</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9)</w:t>
            </w:r>
          </w:p>
        </w:tc>
        <w:tc>
          <w:tcPr>
            <w:tcW w:w="2340" w:type="dxa"/>
          </w:tcPr>
          <w:p>
            <w:pPr>
              <w:spacing w:after="0"/>
            </w:pPr>
            <w:r>
              <w:t xml:space="preserve">7</w:t>
            </w:r>
          </w:p>
        </w:tc>
        <w:tc>
          <w:tcPr>
            <w:tcW w:w="2340" w:type="dxa"/>
          </w:tcPr>
          <w:p>
            <w:pPr>
              <w:spacing w:after="0"/>
            </w:pPr>
            <w:r>
              <w:t xml:space="preserve">2</w:t>
            </w:r>
          </w:p>
        </w:tc>
        <w:tc>
          <w:tcPr>
            <w:tcW w:w="2340" w:type="dxa"/>
          </w:tcPr>
          <w:p>
            <w:pPr>
              <w:spacing w:after="0"/>
            </w:pPr>
            <w:r>
              <w:t xml:space="preserve">77.8%</w:t>
            </w:r>
          </w:p>
        </w:tc>
      </w:tr>
      <w:tr>
        <w:tc>
          <w:tcPr>
            <w:tcW w:w="2340" w:type="dxa"/>
          </w:tcPr>
          <w:p>
            <w:pPr>
              <w:spacing w:after="0"/>
            </w:pPr>
            <w:r>
              <w:t xml:space="preserve">Ready (n = 13)</w:t>
            </w:r>
          </w:p>
        </w:tc>
        <w:tc>
          <w:tcPr>
            <w:tcW w:w="2340" w:type="dxa"/>
          </w:tcPr>
          <w:p>
            <w:pPr>
              <w:spacing w:after="0"/>
            </w:pPr>
            <w:r>
              <w:t xml:space="preserve">2</w:t>
            </w:r>
          </w:p>
        </w:tc>
        <w:tc>
          <w:tcPr>
            <w:tcW w:w="2340" w:type="dxa"/>
          </w:tcPr>
          <w:p>
            <w:pPr>
              <w:spacing w:after="0"/>
            </w:pPr>
            <w:r>
              <w:t xml:space="preserve">11</w:t>
            </w:r>
          </w:p>
        </w:tc>
        <w:tc>
          <w:tcPr>
            <w:tcW w:w="2340" w:type="dxa"/>
          </w:tcPr>
          <w:p>
            <w:pPr>
              <w:spacing w:after="0"/>
            </w:pPr>
            <w:r>
              <w:t xml:space="preserve">15.4%</w:t>
            </w:r>
          </w:p>
        </w:tc>
      </w:tr>
    </w:tbl>
    <w:p>
      <w:pPr/>
      <w:r>
        <w:t/>
      </w:r>
    </w:p>
    <w:p>
      <w:pPr>
        <w:spacing w:after="140"/>
      </w:pPr>
      <w:r>
        <w:t xml:space="preserve">Fisher's exact test, two-sided: </w:t>
      </w:r>
      <w:r>
        <w:rPr>
          <w:b/>
        </w:rPr>
        <w:t xml:space="preserve">p = 0.0073</w:t>
      </w:r>
      <w:r>
        <w:t xml:space="preserve">.</w:t>
      </w:r>
      <w:r>
        <w:rPr>
          <w:vertAlign w:val="superscript"/>
        </w:rPr>
        <w:t xml:space="preserve">4</w:t>
      </w:r>
      <w:r>
        <w:t xml:space="preserve"> The result is unchanged when the two weakest corpus entries are excluded.</w:t>
      </w:r>
      <w:r>
        <w:rPr>
          <w:vertAlign w:val="superscript"/>
        </w:rPr>
        <w:t xml:space="preserve">6</w:t>
      </w:r>
    </w:p>
    <w:p>
      <w:pPr>
        <w:spacing w:after="140"/>
      </w:pPr>
      <w:r>
        <w:t xml:space="preserve">Records classified as incomplete were associated with an adverse finding in 77.8 percent of cases, compared with 15.4 percent of records classified as Ready.</w:t>
      </w:r>
    </w:p>
    <w:p>
      <w:pPr>
        <w:spacing w:after="140"/>
      </w:pPr>
      <w:r>
        <w:t xml:space="preserve">The result depends on how an adverse outcome is defined, and no rule was fixed before the data closed. </w:t>
      </w:r>
      <w:r>
        <w:rPr>
          <w:b/>
        </w:rPr>
        <w:t xml:space="preserve">The classification was therefore defined retrospectively and should be treated as exploratory.</w:t>
      </w:r>
      <w:r>
        <w:t xml:space="preserve"> Restricting to the 16 matters with a resolved disposition and asking only whether the employer's position was sustained gives p = 0.041. Counting an unresolved contest as not sustained across all 22 gives p = 0.165, which is not significant.</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a rate set by the publication process rather than by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from that result.</w:t>
      </w:r>
      <w:r>
        <w:rPr>
          <w:vertAlign w:val="superscript"/>
        </w:rPr>
        <w:t xml:space="preserve">5</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and financial-crime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w:t>
      </w:r>
      <w:r>
        <w:rPr>
          <w:b/>
        </w:rPr>
        <w:t xml:space="preserve">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was never attached because the narrative read as complete without it. In audit or dispute the absence of that material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22 matters were the full study corpus rather than a statistically designed sample drawn against a stated tolerable error and confidence level. Build the sampling plan in the ordinary way, using whatever sampling standard the function already applies. The unit of analysis is the record. A periodic sample, sized to the relevant population and weighted toward consequential decisions, meaning decisions with material employment, financial, legal or compliance implications such as terminations, disciplinary outcomes and denials of accommodation, would generally be more informative than a larger unweighted sample. The aggregate view matters more than any individual file, because patterned compliance is visible only across a population.</w:t>
      </w:r>
    </w:p>
    <w:p>
      <w:pPr>
        <w:spacing w:after="140"/>
      </w:pPr>
      <w:r>
        <w:rPr>
          <w:b/>
        </w:rPr>
        <w:t xml:space="preserve">What triggers escalation?</w:t>
      </w:r>
      <w:r>
        <w:t xml:space="preserve"> A single Needs work classification can ordinarily trigger coaching or remediation. A rising rate, or a persistent concentration by author, business unit or decision type, can warrant treatment as a control finding. The second is the more important control signal, but it cannot be identified reliably unless the first is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a working specialist can apply inside an ordinary workload. The result should therefore be interpreted as exploratory.</w:t>
      </w:r>
    </w:p>
    <w:p>
      <w:pPr>
        <w:spacing w:after="140"/>
      </w:pPr>
      <w:r>
        <w:t xml:space="preserve">It does not establish that the review improves outcomes, reduces litigation risk or increases decision quality, none of which was tested. Twenty-two cases from one practitioner's caseload, selected from published sources rather than sampled at random, is a field pilot. Published adjudications are not a random sample of employment records,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corpus comprises 22 adjudicated matters from 22 distinct published decisions, collected between 22 June and 29 July 2026. The full case list, with the adjudicating forum for each matter, is set out in the appendix. Counts, classifications, outcomes and citations were verified against the study database on 24 August 2026.</w:t>
      </w:r>
    </w:p>
    <w:p>
      <w:pPr>
        <w:spacing w:after="140"/>
      </w:pPr>
      <w:r>
        <w:rPr>
          <w:b/>
        </w:rPr>
        <w:t xml:space="preserve">Protocol and classification</w:t>
      </w:r>
    </w:p>
    <w:p>
      <w:pPr>
        <w:spacing w:after="140"/>
      </w:pPr>
      <w:r>
        <w:rPr>
          <w:b/>
        </w:rPr>
        <w:t xml:space="preserve">2.</w:t>
      </w:r>
      <w:r>
        <w:t xml:space="preserve"> For each matter the reviewer read the published decision in full and worked from the portions describing the employer's contemporaneous documentation as reproduced or characterized within it.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3.</w:t>
      </w:r>
      <w:r>
        <w:t xml:space="preserve"> An adverse finding was recorded where the employer's position did not survive review, or where the matter drew an adverse audit or compliance finding. The two adverse audit or compliance findings are a separate category that does not overlap the disposition counts, and the four categories sum to 22. </w:t>
      </w:r>
      <w:r>
        <w:rPr>
          <w:b/>
        </w:rPr>
        <w:t xml:space="preserve">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4.</w:t>
      </w:r>
      <w:r>
        <w:t xml:space="preserve"> Association between the classification and an adverse finding was tested with Fisher's exact test, two-sided, on the 2 x 2 table shown: p = 0.0073, odds ratio 19.25. The observed proportions with an adverse finding were 77.8 percent for records classified Needs work or Gap (7 of 9, 95 percent Wilson score interval 45.3 to 93.7 percent) and 15.4 percent for records classified Ready (2 of 13, 95 percent Wilson score interval 4.3 to 42.2 percent). Wilson intervals are used for these proportions because the cell counts are small and the normal approximation is unreliable at this sample size.</w:t>
      </w:r>
    </w:p>
    <w:p>
      <w:pPr>
        <w:spacing w:after="140"/>
      </w:pPr>
      <w:r>
        <w:rPr>
          <w:b/>
        </w:rPr>
        <w:t xml:space="preserve">5.</w:t>
      </w:r>
      <w:r>
        <w:t xml:space="preserve"> Comparison with the public-records corpus used the Woolf test of homogeneity of odds ratios: Q = 2.550 on 1 degree of freedom, p = 0.110. The test does not establish equivalence; it fails to detect a difference at this sample size.</w:t>
      </w:r>
    </w:p>
    <w:p>
      <w:pPr>
        <w:spacing w:after="140"/>
      </w:pPr>
      <w:r>
        <w:rPr>
          <w:b/>
        </w:rPr>
        <w:t xml:space="preserve">Corpus integrity and sensitivity</w:t>
      </w:r>
    </w:p>
    <w:p>
      <w:pPr>
        <w:spacing w:after="140"/>
      </w:pPr>
      <w:r>
        <w:rPr>
          <w:b/>
        </w:rPr>
        <w:t xml:space="preserve">6.</w:t>
      </w:r>
      <w:r>
        <w:t xml:space="preserve"> Two entries in the case list are weaker than the other 20 and are reported rather than adjusted. Case 4 identifies no specific decision: its source record is a narrative account of a capability dismissal with no party, forum, date or case number, so it cannot be cited. Case 5 names a decision but carries no tribunal case number. Because the primary association should not rest on entries a reader cannot locate, it was recomputed with each removed. On all 22 the association is p = 0.0073 with an odds ratio of 19.25. Excluding case 4, which falls in the Ready and no-adverse-finding cell, gives 7 of 9 against 2 of 12, p = 0.0092, odds ratio 17.50. Excluding case 15, a public-records advisory opinion that sits in an otherwise employment corpus, gives 6 of 8 against 2 of 13, p = 0.0176, odds ratio 16.50. Excluding both gives 6 of 8 against 2 of 12, p = 0.0194, odds ratio 15.00. </w:t>
      </w:r>
      <w:r>
        <w:rPr>
          <w:b/>
        </w:rPr>
        <w:t xml:space="preserve">The direction and significance of the association are unchanged under every exclusion, so no reported conclusion depends on the two weak entries or on the one out-of-domain matter.</w:t>
      </w:r>
    </w:p>
    <w:p>
      <w:pPr>
        <w:spacing w:after="140"/>
      </w:pPr>
      <w:r>
        <w:rPr>
          <w:b/>
        </w:rPr>
        <w:t xml:space="preserve">Contributor methodology</w:t>
      </w:r>
    </w:p>
    <w:p>
      <w:pPr>
        <w:spacing w:after="140"/>
      </w:pPr>
      <w:r>
        <w:rPr>
          <w:b/>
        </w:rPr>
        <w:t xml:space="preserve">7.</w:t>
      </w:r>
      <w:r>
        <w:t xml:space="preserve"> Ubayet Hossain, FRM, provided methodological guidance on the reference-panel design, the chance-corrected agreement framework and the prespecified acceptance thresholds, in a personal professional capacity. His contribution does not represent the views of any employer.</w:t>
      </w:r>
    </w:p>
    <w:p>
      <w:pPr>
        <w:pBdr>
          <w:bottom w:val="single" w:sz="6" w:space="1" w:color="AAAAAA"/>
        </w:pBdr>
      </w:pPr>
    </w:p>
    <w:p>
      <w:pPr>
        <w:pStyle w:val="Heading2"/>
        <w:spacing w:after="140"/>
      </w:pPr>
      <w:r>
        <w:t xml:space="preserve">Appendix: case list</w:t>
      </w:r>
    </w:p>
    <w:p>
      <w:pPr>
        <w:numPr>
          <w:ilvl w:val="0"/>
          <w:numId w:val="4"/>
        </w:numPr>
        <w:spacing w:after="60"/>
      </w:pPr>
      <w:r>
        <w:t xml:space="preserve">McDonnell Douglas Corp. v. Green, 411 U.S. 792 (1973) (US Supreme Court)</w:t>
      </w:r>
    </w:p>
    <w:p>
      <w:pPr>
        <w:numPr>
          <w:ilvl w:val="0"/>
          <w:numId w:val="4"/>
        </w:numPr>
        <w:spacing w:after="60"/>
      </w:pPr>
      <w:r>
        <w:t xml:space="preserve">St. Mary’s Honor Center v. Hicks, 509 U.S. 502 (1993). U.S. Supreme Court (US Supreme Court)</w:t>
      </w:r>
    </w:p>
    <w:p>
      <w:pPr>
        <w:numPr>
          <w:ilvl w:val="0"/>
          <w:numId w:val="4"/>
        </w:numPr>
        <w:spacing w:after="60"/>
      </w:pPr>
      <w:r>
        <w:t xml:space="preserve">Gallon v Sigma Aldrich Ltd, UK Employment Tribunal, Case No. 2500506/2017 (2017) (UK Employment Tribunal)</w:t>
      </w:r>
    </w:p>
    <w:p>
      <w:pPr>
        <w:numPr>
          <w:ilvl w:val="0"/>
          <w:numId w:val="4"/>
        </w:numPr>
        <w:spacing w:after="60"/>
      </w:pPr>
      <w:r>
        <w:t xml:space="preserve">Published Employment Tribunal and Employment Appeal Tribunal proceedings involving a capability dismissal following a formal performance management process (UK Employment Tribunal)  </w:t>
      </w:r>
      <w:r>
        <w:rPr>
          <w:b/>
        </w:rPr>
        <w:t xml:space="preserve">[REQUIRED_ENV_PARAM: CASE_04_CITATION]</w:t>
      </w:r>
      <w:r>
        <w:t xml:space="preserve"> This entry identifies no specific decision and cannot be cited. See endnote 6 for the sensitivity analysis excluding it.</w:t>
      </w:r>
    </w:p>
    <w:p>
      <w:pPr>
        <w:numPr>
          <w:ilvl w:val="0"/>
          <w:numId w:val="4"/>
        </w:numPr>
        <w:spacing w:after="60"/>
      </w:pPr>
      <w:r>
        <w:t xml:space="preserve">Jones v Vale Curtains and Blinds Ltd (Employment Tribunal, Reading, 2024) (UK Employment Tribunal)  </w:t>
      </w:r>
      <w:r>
        <w:rPr>
          <w:b/>
        </w:rPr>
        <w:t xml:space="preserve">[REQUIRED_ENV_PARAM: CASE_05_LOCATOR]</w:t>
      </w:r>
      <w:r>
        <w:t xml:space="preserve"> Named decision, no case number on file. Supply the tribunal case number before submission.</w:t>
      </w:r>
    </w:p>
    <w:p>
      <w:pPr>
        <w:numPr>
          <w:ilvl w:val="0"/>
          <w:numId w:val="4"/>
        </w:numPr>
        <w:spacing w:after="60"/>
      </w:pPr>
      <w:r>
        <w:t xml:space="preserve">United States Department of Defense, Department of Defense Dependents Schools, Europe and Federal Education Association, 65 FLRA No. 122 (2011) (US Federal Labor Relations Authority)</w:t>
      </w:r>
    </w:p>
    <w:p>
      <w:pPr>
        <w:numPr>
          <w:ilvl w:val="0"/>
          <w:numId w:val="4"/>
        </w:numPr>
        <w:spacing w:after="60"/>
      </w:pPr>
      <w:r>
        <w:t xml:space="preserve">Public citation: Appeal Board No. 636070 (N.Y. Unemployment Insurance Appeal Board, Mar. 5, 2025) (New York Unemployment Insurance Appeal Board)</w:t>
      </w:r>
    </w:p>
    <w:p>
      <w:pPr>
        <w:numPr>
          <w:ilvl w:val="0"/>
          <w:numId w:val="4"/>
        </w:numPr>
        <w:spacing w:after="60"/>
      </w:pPr>
      <w:r>
        <w:t xml:space="preserve">Valentine S. v. U.S. Postal Service, EEOC Appeal No. 2022004565 (Dec. 22, 2022) (US Equal Employment Opportunity Commission)</w:t>
      </w:r>
    </w:p>
    <w:p>
      <w:pPr>
        <w:numPr>
          <w:ilvl w:val="0"/>
          <w:numId w:val="4"/>
        </w:numPr>
        <w:spacing w:after="60"/>
      </w:pPr>
      <w:r>
        <w:t xml:space="preserve">Matter of Gannett Co., Inc. v City of Mount Vernon Police Department, 248 AD3d 1035, 2026 NY Slip Op 02267 (2d Dept 2026) (New York Appellate Division)</w:t>
      </w:r>
    </w:p>
    <w:p>
      <w:pPr>
        <w:numPr>
          <w:ilvl w:val="0"/>
          <w:numId w:val="4"/>
        </w:numPr>
        <w:spacing w:after="60"/>
      </w:pPr>
      <w:r>
        <w:t xml:space="preserve">Matter of Kohler-Hausmann v New York City Police Department, 133 AD3d 437 (1st Dept 2015) (New York Appellate Division)</w:t>
      </w:r>
    </w:p>
    <w:p>
      <w:pPr>
        <w:numPr>
          <w:ilvl w:val="0"/>
          <w:numId w:val="4"/>
        </w:numPr>
        <w:spacing w:after="60"/>
      </w:pPr>
      <w:r>
        <w:t xml:space="preserve">United States Department of Housing and Urban Development and AFGE Local 3320, 73 FLRA No. 67 (Nov. 14, 2022) (US Federal Labor Relations Authority)</w:t>
      </w:r>
    </w:p>
    <w:p>
      <w:pPr>
        <w:numPr>
          <w:ilvl w:val="0"/>
          <w:numId w:val="4"/>
        </w:numPr>
        <w:spacing w:after="60"/>
      </w:pPr>
      <w:r>
        <w:t xml:space="preserve">AFGE Local 4012 and Social Security Administration, Denver, Colorado, 73 FLRA No. 106 (May 26, 2023) (US Federal Labor Relations Authority)</w:t>
      </w:r>
    </w:p>
    <w:p>
      <w:pPr>
        <w:numPr>
          <w:ilvl w:val="0"/>
          <w:numId w:val="4"/>
        </w:numPr>
        <w:spacing w:after="60"/>
      </w:pPr>
      <w:r>
        <w:t xml:space="preserve">International Federation of Professional and Technical Engineers, Local 4 and U.S. Department of the Navy, Portsmouth Naval Shipyard, 73 FLRA No. 94 (2023) (US Federal Labor Relations Authority)</w:t>
      </w:r>
    </w:p>
    <w:p>
      <w:pPr>
        <w:numPr>
          <w:ilvl w:val="0"/>
          <w:numId w:val="4"/>
        </w:numPr>
        <w:spacing w:after="60"/>
      </w:pPr>
      <w:r>
        <w:t xml:space="preserve">Fraternal Order of Police, DC Lodge 1 and U.S. Department of Defense, Pentagon Force Protection Agency, 73 FLRA No. 77 (2023) (US Federal Labor Relations Authority)</w:t>
      </w:r>
    </w:p>
    <w:p>
      <w:pPr>
        <w:numPr>
          <w:ilvl w:val="0"/>
          <w:numId w:val="4"/>
        </w:numPr>
        <w:spacing w:after="60"/>
      </w:pPr>
      <w:r>
        <w:t xml:space="preserve">FOIL-AO-19774 (N.Y. Committee on Open Government, June 29, 2020) (New York Committee on Open Government)</w:t>
      </w:r>
    </w:p>
    <w:p>
      <w:pPr>
        <w:numPr>
          <w:ilvl w:val="0"/>
          <w:numId w:val="4"/>
        </w:numPr>
        <w:spacing w:after="60"/>
      </w:pPr>
      <w:r>
        <w:t xml:space="preserve">Matter of Woods v State University of New York, 139 AD3d 1322, 2016 NY Slip Op 04084 (3d Dept 2016) (New York Appellate Division)</w:t>
      </w:r>
    </w:p>
    <w:p>
      <w:pPr>
        <w:numPr>
          <w:ilvl w:val="0"/>
          <w:numId w:val="4"/>
        </w:numPr>
        <w:spacing w:after="60"/>
      </w:pPr>
      <w:r>
        <w:t xml:space="preserve">United States Small Business Administration and American Federation of Government Employees, Local 228, 71 FLRA No. 124 (2020) (US Federal Labor Relations Authority)</w:t>
      </w:r>
    </w:p>
    <w:p>
      <w:pPr>
        <w:numPr>
          <w:ilvl w:val="0"/>
          <w:numId w:val="4"/>
        </w:numPr>
        <w:spacing w:after="60"/>
      </w:pPr>
      <w:r>
        <w:t xml:space="preserve">Appeal Board No. 634916 (N.Y. Unemployment Insurance Appeal Board, Jan. 29, 2025) (New York Unemployment Insurance Appeal Board)</w:t>
      </w:r>
    </w:p>
    <w:p>
      <w:pPr>
        <w:numPr>
          <w:ilvl w:val="0"/>
          <w:numId w:val="4"/>
        </w:numPr>
        <w:spacing w:after="60"/>
      </w:pPr>
      <w:r>
        <w:t xml:space="preserve">Carson v Department of Justice, EEOC Appeal No. 0120100078 (Feb. 16, 2012) (US Equal Employment Opportunity Commission)</w:t>
      </w:r>
    </w:p>
    <w:p>
      <w:pPr>
        <w:numPr>
          <w:ilvl w:val="0"/>
          <w:numId w:val="4"/>
        </w:numPr>
        <w:spacing w:after="60"/>
      </w:pPr>
      <w:r>
        <w:t xml:space="preserve">Appeal Board No. 637062 (N.Y. Unemployment Insurance Appeal Board, July 22, 2025) (New York Unemployment Insurance Appeal Board)</w:t>
      </w:r>
    </w:p>
    <w:p>
      <w:pPr>
        <w:numPr>
          <w:ilvl w:val="0"/>
          <w:numId w:val="4"/>
        </w:numPr>
        <w:spacing w:after="60"/>
      </w:pPr>
      <w:r>
        <w:t xml:space="preserve">Appeal Board No. 638160 (N.Y. Unemployment Insurance Appeal Board, Dec. 4, 2025) (New York Unemployment Insurance Appeal Board)</w:t>
      </w:r>
    </w:p>
    <w:p>
      <w:pPr>
        <w:numPr>
          <w:ilvl w:val="0"/>
          <w:numId w:val="4"/>
        </w:numPr>
        <w:spacing w:after="60"/>
      </w:pPr>
      <w:r>
        <w:t xml:space="preserve">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Organisational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