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Decision Reconstruction Risk Is Detectable: An International Expert Panel Evaluation of a Record-Level Review Standard</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developed the paper's normative framing, constructed the validation corpus and the verified answer key, assembled the international reviewer panel, and led the writing. U.H. designed the reliability and validation framework: the reference-panel design, the chance-corrected agreement statistics, and the pre-registered decision floors and analysis plan.</w:t>
      </w:r>
    </w:p>
    <w:p>
      <w:pPr>
        <w:spacing w:after="140"/>
      </w:pPr>
      <w:r>
        <w:rPr>
          <w:b/>
        </w:rPr>
        <w:t xml:space="preserve">Target journal:</w:t>
      </w:r>
      <w:r>
        <w:t xml:space="preserve"> </w:t>
      </w:r>
      <w:r>
        <w:rPr>
          <w:i/>
        </w:rPr>
        <w:t xml:space="preserve">AI and Ethics</w:t>
      </w:r>
      <w:r>
        <w:t xml:space="preserve"> (Springer). Alternatives: </w:t>
      </w:r>
      <w:r>
        <w:rPr>
          <w:i/>
        </w:rPr>
        <w:t xml:space="preserve">AI &amp; Society</w:t>
      </w:r>
      <w:r>
        <w:t xml:space="preserve"> (Springer); </w:t>
      </w:r>
      <w:r>
        <w:rPr>
          <w:i/>
        </w:rPr>
        <w:t xml:space="preserve">Journal of Responsible Technology</w:t>
      </w:r>
      <w:r>
        <w:t xml:space="preserve"> (Elsevier, open access).</w:t>
      </w:r>
    </w:p>
    <w:p>
      <w:pPr>
        <w:spacing w:after="140"/>
      </w:pPr>
      <w:r>
        <w:rPr>
          <w:b/>
        </w:rPr>
        <w:t xml:space="preserve">Status (2026-08-02):</w:t>
      </w:r>
      <w:r>
        <w:t xml:space="preserve"> Working draft. The primary detection analysis is complete and reported. The pre-registered randomized comparison reached its minimum sample and is reported as an underpowered null with an effect-size estimate. All figures are verified against the study database on the date shown, not carried from memory.</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or defended. We name this property Decision Reconstruction Risk (DRR).</w:t>
      </w:r>
    </w:p>
    <w:p>
      <w:pPr>
        <w:spacing w:after="140"/>
      </w:pPr>
      <w:r>
        <w:rPr>
          <w:b/>
        </w:rPr>
        <w:t xml:space="preserve">Objective.</w:t>
      </w:r>
      <w:r>
        <w:t xml:space="preserve"> This paper defines DRR as a measurable property of records rather than an abstract concern, and asks the question that must be answered before any other: </w:t>
      </w:r>
      <w:r>
        <w:rPr>
          <w:b/>
        </w:rPr>
        <w:t xml:space="preserve">is DRR detectable?</w:t>
      </w:r>
      <w:r>
        <w:t xml:space="preserve"> If experienced professionals cannot reliably identify records whose reasoning is missing, no control built on that judgment can work.</w:t>
      </w:r>
    </w:p>
    <w:p>
      <w:pPr>
        <w:spacing w:after="140"/>
      </w:pPr>
      <w:r>
        <w:rPr>
          <w:b/>
        </w:rPr>
        <w:t xml:space="preserve">Methods.</w:t>
      </w:r>
      <w:r>
        <w:t xml:space="preserve"> A balanced corpus of 24 constructed, de-identified AI-generated records (12 grounded, 12 unsupported) was judged by an international panel of experienced professionals against an answer key fixed and independently verified before any scoring. Reviewers worked independently, blind to the key, in a personal capacity. Analysis followed a plan registered before the data were examined, with decision thresholds set in advance. Accuracy is analyzed at the participant level, treating each reviewer rather than each read as the unit of observation.</w:t>
      </w:r>
    </w:p>
    <w:p>
      <w:pPr>
        <w:spacing w:after="140"/>
      </w:pPr>
      <w:r>
        <w:rPr>
          <w:b/>
        </w:rPr>
        <w:t xml:space="preserve">Primary result.</w:t>
      </w:r>
      <w:r>
        <w:t xml:space="preserve"> Sixteen reviewers across 11 countries on 5 continents completed the full corpus. Panel accuracy against the verified key was </w:t>
      </w:r>
      <w:r>
        <w:rPr>
          <w:b/>
        </w:rPr>
        <w:t xml:space="preserve">83.9 percent</w:t>
      </w:r>
      <w:r>
        <w:t xml:space="preserve"> (95 percent CI 72.7 to 95.1 at participant level), with sensitivity 87.0 percent for unsupported records and specificity 80.7 percent for grounded ones. This clears the pre-registered threshold, which required a point estimate of at least 70 percent with a lower confidence bound above chance. </w:t>
      </w:r>
      <w:r>
        <w:rPr>
          <w:b/>
        </w:rPr>
        <w:t xml:space="preserve">DRR is detectable.</w:t>
      </w:r>
    </w:p>
    <w:p>
      <w:pPr>
        <w:spacing w:after="140"/>
      </w:pPr>
      <w:r>
        <w:rPr>
          <w:b/>
        </w:rPr>
        <w:t xml:space="preserve">Detection across the full expert base.</w:t>
      </w:r>
      <w:r>
        <w:t xml:space="preserve"> Every participant in this study, in both the panel and the randomized comparison, is an experienced professional in a relevant domain; "JRS-naive" in the comparison arms denotes no prior exposure to the method, not absence of expertise. Pooling every expert who applied the five conditions, the panel and the standard arm of the randomized comparison together, gives </w:t>
      </w:r>
      <w:r>
        <w:rPr>
          <w:b/>
        </w:rPr>
        <w:t xml:space="preserve">81.3 percent accuracy across 21 reviewers and 504 graded reads</w:t>
      </w:r>
      <w:r>
        <w:t xml:space="preserve"> (95 percent CI 71.8 to 90.9). Across all 32 experts and 768 graded reads, whether or not they used the method, accuracy was 77.2 percent (95 percent CI 68.2 to 86.3). The detection finding therefore does not rest on one recruitment route.</w:t>
      </w:r>
    </w:p>
    <w:p>
      <w:pPr>
        <w:spacing w:after="140"/>
      </w:pPr>
      <w:r>
        <w:rPr>
          <w:b/>
        </w:rPr>
        <w:t xml:space="preserve">Supporting results.</w:t>
      </w:r>
      <w:r>
        <w:t xml:space="preserve"> Three AI systems from three different vendors applied the same review to the same records and agreed at a mean pairwise rate of 84 percent across 15 records, indicating consistent application at machine level, which is distinct from accuracy. Independent expert and trained-reviewer panels applied the five conditions to a shared 10-record set, reaching Gwet's AC1 of 0.739 and 0.624 respectively, in the substantial range and clearing the pre-registered point floor of 0.61; the confidence intervals around both are wide and the plan's lower-bound criterion is not met, so these reliability figures are reported as interim, resting on 10 of approximately 26 pooled records.</w:t>
      </w:r>
    </w:p>
    <w:p>
      <w:pPr>
        <w:spacing w:after="140"/>
      </w:pPr>
      <w:r>
        <w:rPr>
          <w:b/>
        </w:rPr>
        <w:t xml:space="preserve">Secondary, pre-registered.</w:t>
      </w:r>
      <w:r>
        <w:t xml:space="preserve"> A randomized comparison assigned JRS-naive professionals to review the same records either with the five conditions or with a general prompt. The standard condition scored 73.3 percent (n = 5) against 69.3 percent for the unaided condition (n = 11), a difference of 4.0 percentage points (Cohen's d = 0.140) whose confidence interval includes zero. Under the pre-registered decision rule this is reported as a null. As the unaided arm has accrued completers, the observed difference has narrowed rather than widened, and post-hoc power analysis now indicates that a definitive test of an effect this size would require approximately 800 completers per condition.</w:t>
      </w:r>
    </w:p>
    <w:p>
      <w:pPr>
        <w:spacing w:after="140"/>
      </w:pPr>
      <w:r>
        <w:rPr>
          <w:b/>
        </w:rPr>
        <w:t xml:space="preserve">Contribution.</w:t>
      </w:r>
      <w:r>
        <w:t xml:space="preserve"> DRR names a documentation-governance problem that model-centric AI governance does not capture. This paper establishes that the property is detectable by experienced reviewers, characterizes the effect size for a properly powered trial of the standard's added value, and offers the design as a template for evaluating documentation-quality controls.</w:t>
      </w:r>
    </w:p>
    <w:p>
      <w:pPr>
        <w:spacing w:after="140"/>
      </w:pPr>
      <w:r>
        <w:rPr>
          <w:b/>
        </w:rPr>
        <w:t xml:space="preserve">Keywords:</w:t>
      </w:r>
      <w:r>
        <w:t xml:space="preserve"> AI governance; documentation risk; accountability; decision defensibility; record-level review; responsible AI.</w:t>
      </w:r>
    </w:p>
    <w:p>
      <w:pPr>
        <w:pBdr>
          <w:bottom w:val="single" w:sz="6" w:space="1" w:color="AAAAAA"/>
        </w:pBdr>
      </w:pPr>
    </w:p>
    <w:p>
      <w:pPr>
        <w:pStyle w:val="Heading2"/>
        <w:spacing w:after="140"/>
      </w:pPr>
      <w:r>
        <w:t xml:space="preserve">1. Introduction</w:t>
      </w:r>
    </w:p>
    <w:p>
      <w:pPr>
        <w:spacing w:after="140"/>
      </w:pPr>
      <w:r>
        <w:t xml:space="preserve">In accountability settings, a record is only as useful as the ability of the people it concerns to understand it. A determination the affected person cannot follow cannot be questioned, corrected, or trusted. A record is also only as resilient as the range of people who scrutinize it: a file that survives review by a single reviewer, in one language, within one legal culture, has not truly been tested. Both commitments shape this study, and both are developed in Section 2.1.</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cannot, on its own terms, allow an independent reviewer to reconstruct the basis for a consequential decision.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organization, the same gap is a latent liability: a record that cannot be reconstructed cannot be defended when tested by a complaint, an audit, a regulator, or a court. DRR is unusual among governance problems in that the individual's right to an explanation and the institution's ability to defend its own decisions are threatened by one and the same defect.</w:t>
      </w:r>
    </w:p>
    <w:p>
      <w:pPr>
        <w:spacing w:after="140"/>
      </w:pPr>
      <w:r>
        <w:t xml:space="preserve">Most of the AI governance conversation addresses model risk: bias, robustness, security, the behavior of the system itself. This paper addresses a complementary problem that arises after the model has assisted with drafting and lives in the record it helped produce. Documentation risk is workflow-independent. It does not matter whether the record was produced by a person, by a person assisted by AI, or by an automated pipeline. What matters is whether the resulting record can be independently reconstructed and defended.</w:t>
      </w:r>
    </w:p>
    <w:p>
      <w:pPr>
        <w:spacing w:after="140"/>
      </w:pPr>
      <w:r>
        <w:rPr>
          <w:b/>
        </w:rPr>
        <w:t xml:space="preserve">The question this paper answers.</w:t>
      </w:r>
      <w:r>
        <w:t xml:space="preserve"> Before asking whether any particular review method helps, a prior question must be settled: is DRR detectable at all? If experienced professionals, reading a record cold, cannot distinguish one whose reasoning is present from one whose reasoning is absent, then documentation risk is not a governable property and no control built on human review can work. This paper reports a pre-registered test of exactly that question, and answers it affirmatively. A secondary pre-registered comparison, testing whether the structured method improves detection relative to unaided judgment, is reported in Section 6 as an underpowered null with the effect size needed to design a conclusive trial.</w:t>
      </w:r>
    </w:p>
    <w:p>
      <w:pPr>
        <w:pStyle w:val="Heading2"/>
        <w:spacing w:after="140"/>
      </w:pPr>
      <w:r>
        <w:t xml:space="preserve">2. Background: documentation risk and the reconstruction gap</w:t>
      </w:r>
    </w:p>
    <w:p>
      <w:pPr>
        <w:spacing w:after="140"/>
      </w:pPr>
      <w:r>
        <w:t xml:space="preserve">Accountability regimes in employment, housing, civil rights, public records, healthcare compliance, and financial supervision share a common assumption: that a consequential decision leaves behind a record from which its basis can be reconstructed. Appeals, audits, and litigation all depend on it. When a determination is challenged, the reviewer does not re-interview the decision-maker's memory. The reviewer reads the record.</w:t>
      </w:r>
    </w:p>
    <w:p>
      <w:pPr>
        <w:spacing w:after="140"/>
      </w:pPr>
      <w:r>
        <w:t xml:space="preserve">Generative AI stresses this assumption in a specific way. Language models are trained to produce fluent, plausible, well-formed text. Fluency and evidentiary grounding are different properties, and a model optimizes the first without guaranteeing the second. The result is a class of records that are convincing on their surface and hollow underneath: the conclusion is stated confidently, the prose is professional, the reasoning appears present, yet the specific facts, sources, dates, and inferential steps that would let a reader verify the conclusion are missing. Such a record reads as if it is well founded. It is not.</w:t>
      </w:r>
    </w:p>
    <w:p>
      <w:pPr>
        <w:spacing w:after="140"/>
      </w:pPr>
      <w:r>
        <w:t xml:space="preserve">Existing AI governance instruments, for example model risk frameworks, impact assessments, and technology inventories, largely measure the system and the process. They do not measure whether the resulting record is independently reviewable. That is the measurement gap this work addresses.</w:t>
      </w:r>
    </w:p>
    <w:p>
      <w:pPr>
        <w:pStyle w:val="Heading3"/>
        <w:spacing w:after="140"/>
      </w:pPr>
      <w:r>
        <w:t xml:space="preserve">2.1 The record and the person it describes</w:t>
      </w:r>
    </w:p>
    <w:p>
      <w:pPr>
        <w:spacing w:after="140"/>
      </w:pPr>
      <w:r>
        <w:t xml:space="preserve">Reconstructability is usually argued for in institutional terms: a defensible file, an auditable trail, a record that survives litigation. Those are real interests, and they are not the only ones. A record is also the only account the affected person may ever receive of a decision that shaped their employment, their housing, their benefits, or their access to justice. A record that cannot be reconstructed cannot be understood or fairly questioned by the person it most concerns, and that person is rarely in the room when the standard for the file is set.</w:t>
      </w:r>
    </w:p>
    <w:p>
      <w:pPr>
        <w:spacing w:after="140"/>
      </w:pPr>
      <w:r>
        <w:t xml:space="preserve">Accessibility is part of this property, not separate from it. A record written in language the affected person cannot read, or reasoned in steps they cannot follow, fails the same reconstruction test a court or regulator would later apply. In bilingual intake work this is not theoretical. A determination that is technically complete in English and functionally opaque to the person it describes has satisfied the file and failed the person. The reconstruction test, applied honestly, catches both failures with one question, because a record that only its author can explain is unreconstructable whether the barrier is a missing citation or a language the reader does not speak.</w:t>
      </w:r>
    </w:p>
    <w:p>
      <w:pPr>
        <w:spacing w:after="140"/>
      </w:pPr>
      <w:r>
        <w:t xml:space="preserve">This has a direct methodological consequence for how a documentation standard should be tested. A standard validated by reviewers who share one jurisdiction, one legal culture, and one first language has been tested against a narrow slice of the conditions it will meet in practice. Records are read by people who bring different assumptions about what may be left implicit, what counts as an adequate citation, and what a reader is presumed to already know. Those assumptions are precisely what an unreconstructable record depends on to appear complete.</w:t>
      </w:r>
    </w:p>
    <w:p>
      <w:pPr>
        <w:spacing w:after="140"/>
      </w:pPr>
      <w:r>
        <w:t xml:space="preserve">A decision, a policy, or a principle is only as resilient as the range of people who have pressure-tested it. That is the reason this study recruited an internationally and linguistically diverse reviewer panel rather than a single-jurisdiction one, and it is why the panel's composition is reported as a design feature in Section 4 rather than as incidental demographic detail. If the standard holds when applied by professionals across eleven countries, five continents, and multiple first languages and legal traditions, it is being tested against something closer to the real conditions of review. If it held only within one of them, that would be a finding about that jurisdiction and not about records.</w:t>
      </w:r>
    </w:p>
    <w:p>
      <w:pPr>
        <w:pStyle w:val="Heading2"/>
        <w:spacing w:after="140"/>
      </w:pPr>
      <w:r>
        <w:t xml:space="preserve">3. The Justification Review Standard (JRS)</w:t>
      </w:r>
    </w:p>
    <w:p>
      <w:pPr>
        <w:spacing w:after="140"/>
      </w:pPr>
      <w:r>
        <w:t xml:space="preserve">JRS is a record-level, pre-finalization review method. It evaluates a single record against five conditions and yields a three-level read.</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Author-blind by design.</w:t>
      </w:r>
      <w:r>
        <w:t xml:space="preserve"> JRS does not ask, and does not try to detect, whether a record was written by a person or with AI assistance. That distinction is both technically unreliable and beside the point: a human-authored record can be conclusory and unanchored, and an AI-assisted record can be fully traceable. What the standard tests is whether the reasoning survives separation from whoever produced it. This is what keeps the criterion durable as drafting tools change.</w:t>
      </w:r>
    </w:p>
    <w:p>
      <w:pPr>
        <w:spacing w:after="140"/>
      </w:pPr>
      <w:r>
        <w:rPr>
          <w:b/>
        </w:rPr>
        <w:t xml:space="preserve">Proportionality.</w:t>
      </w:r>
      <w:r>
        <w:t xml:space="preserve"> The documentation defensibility a record must carry scales with the stakes of the decision it supports: the tolerable level of DRR falls as the consequence of the decision rises. This principle, surfaced by pilot reviewer Saurabh Nanda, keeps the standard practical by concentrating review effort where exposure is greatest; the constructed corpus used here is deliberately weighted toward high-stakes contexts.</w:t>
      </w:r>
    </w:p>
    <w:p>
      <w:pPr>
        <w:spacing w:after="140"/>
      </w:pPr>
      <w:r>
        <w:t xml:space="preserve">JRS is deliberately independent of any vendor, model, or drafting workflow.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Design</w:t>
      </w:r>
    </w:p>
    <w:p>
      <w:pPr>
        <w:spacing w:after="140"/>
      </w:pPr>
      <w:r>
        <w:t xml:space="preserve">The primary analysis is a detection study. An international panel of experienced professionals independently judged a balanced corpus of constructed records against a verified answer key, blind to the key and to one another's judgments. A secondary, pre-registered randomized comparison (Section 6) tested whether the structured method improves detection relative to unaided judgment among equally experienced professionals with no prior exposure to it.</w:t>
      </w:r>
    </w:p>
    <w:p>
      <w:pPr>
        <w:pStyle w:val="Heading3"/>
        <w:spacing w:after="140"/>
      </w:pPr>
      <w:r>
        <w:t xml:space="preserve">4.2 Materials: the constructed corpus and the verified key</w:t>
      </w:r>
    </w:p>
    <w:p>
      <w:pPr>
        <w:spacing w:after="140"/>
      </w:pPr>
      <w:r>
        <w:t xml:space="preserve">The corpus is 24 constructed, de-identified, AI-generated records drawn from high-stakes documentation contexts (HR and employment, investigations, compliance and audit, public records, and AI-assisted summaries). The set is balanced: 12 records are grounded (their conclusions are supported by content present in the record) and 12 are unsupported (their conclusions read as complete but lack a reconstructable basis). Records are presented unlabeled and in randomized order.</w:t>
      </w:r>
    </w:p>
    <w:p>
      <w:pPr>
        <w:spacing w:after="140"/>
      </w:pPr>
      <w:r>
        <w:t xml:space="preserve">The answer key was fixed in advance. The author-side intended classification of each record was documented before verification, and the key was then independently reproduced by blind raters who did not see the study's hypotheses, 24 of 24. This procedure removes the circularity objection that the key was fit to the standard. The key and its verification packet are retained and available to reviewers under the study's data-availability terms.</w:t>
      </w:r>
    </w:p>
    <w:p>
      <w:pPr>
        <w:pStyle w:val="Heading3"/>
        <w:spacing w:after="140"/>
      </w:pPr>
      <w:r>
        <w:t xml:space="preserve">4.3 Participants</w:t>
      </w:r>
    </w:p>
    <w:p>
      <w:pPr>
        <w:spacing w:after="140"/>
      </w:pPr>
      <w:r>
        <w:t xml:space="preserve">The detection panel is an international group of experienced professionals in relevant domains: AI governance, compliance, audit, human resources, investigations, data privacy, records, and law. As of 4 August 2026, </w:t>
      </w:r>
      <w:r>
        <w:rPr>
          <w:b/>
        </w:rPr>
        <w:t xml:space="preserve">16 reviewers have completed the full 24-record set</w:t>
      </w:r>
      <w:r>
        <w:t xml:space="preserve">. The completed reviewers span </w:t>
      </w:r>
      <w:r>
        <w:rPr>
          <w:b/>
        </w:rPr>
        <w:t xml:space="preserve">11 countries on 5 continents</w:t>
      </w:r>
      <w:r>
        <w:t xml:space="preserve"> (Australia, Germany, India, Nigeria, Poland, Singapore, South Korea, Spain, the United Arab Emirates, the United Kingdom, and the United States) and multiple professional domains and first languages, a composition motivated in Section 2.1. Reviewers participate in a personal capacity, without compensation, and are recognized as named contributors with their consent. Participation is voluntary and may be withdrawn before publication.</w:t>
      </w:r>
    </w:p>
    <w:p>
      <w:pPr>
        <w:pStyle w:val="Heading3"/>
        <w:spacing w:after="140"/>
      </w:pPr>
      <w:r>
        <w:t xml:space="preserve">4.4 Analysis and unit of observation</w:t>
      </w:r>
    </w:p>
    <w:p>
      <w:pPr>
        <w:spacing w:after="140"/>
      </w:pPr>
      <w:r>
        <w:t xml:space="preserve">Accuracy is computed at the </w:t>
      </w:r>
      <w:r>
        <w:rPr>
          <w:b/>
        </w:rPr>
        <w:t xml:space="preserve">participant level</w:t>
      </w:r>
      <w:r>
        <w:t xml:space="preserve">: each reviewer contributes one accuracy score, and the panel result is the mean of those scores with a confidence interval across reviewers. This is the conservative and correct unit. Treating each of the 24 reads as an independent observation would understate uncertainty substantially, because reads from one reviewer reflect one person applying one threshold. Where read-level figures are reported for comparison, they are labeled as such.</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w:t>
      </w:r>
    </w:p>
    <w:p>
      <w:pPr>
        <w:pStyle w:val="Heading3"/>
        <w:spacing w:after="140"/>
      </w:pPr>
      <w:r>
        <w:t xml:space="preserve">4.5 Pre-registered thresholds</w:t>
      </w:r>
    </w:p>
    <w:p>
      <w:pPr>
        <w:spacing w:after="140"/>
      </w:pPr>
      <w:r>
        <w:t xml:space="preserve">Analysis follows a plan registered before results were examined.</w:t>
      </w:r>
    </w:p>
    <w:p>
      <w:pPr>
        <w:numPr>
          <w:ilvl w:val="0"/>
          <w:numId w:val="1"/>
        </w:numPr>
        <w:spacing w:after="60"/>
      </w:pPr>
      <w:r>
        <w:rPr>
          <w:b/>
        </w:rPr>
        <w:t xml:space="preserve">Detection threshold (primary).</w:t>
      </w:r>
      <w:r>
        <w:t xml:space="preserve"> The claim that reviewers distinguish reconstructable from non-reconstructable records is supported only if agreement with the held-out key exceeds chance with the lower 95 percent bound above 0.50, and reaches a pre-set target of at least 0.70.</w:t>
      </w:r>
    </w:p>
    <w:p>
      <w:pPr>
        <w:numPr>
          <w:ilvl w:val="0"/>
          <w:numId w:val="1"/>
        </w:numPr>
        <w:spacing w:after="60"/>
      </w:pPr>
      <w:r>
        <w:rPr>
          <w:b/>
        </w:rPr>
        <w:t xml:space="preserve">Reliability floor (supporting).</w:t>
      </w:r>
      <w:r>
        <w:t xml:space="preserve"> Gwet's AC1 among the expert panel of at least 0.61, with the lower bound of its confidence interval at least 0.41.</w:t>
      </w:r>
    </w:p>
    <w:p>
      <w:pPr>
        <w:numPr>
          <w:ilvl w:val="0"/>
          <w:numId w:val="1"/>
        </w:numPr>
        <w:spacing w:after="60"/>
      </w:pPr>
      <w:r>
        <w:rPr>
          <w:b/>
        </w:rPr>
        <w:t xml:space="preserve">Comparison threshold (secondary).</w:t>
      </w:r>
      <w:r>
        <w:t xml:space="preserve"> The standard condition exceeds the unaided condition with the confidence interval of the difference excluding zero.</w:t>
      </w:r>
    </w:p>
    <w:p>
      <w:pPr>
        <w:spacing w:after="140"/>
      </w:pPr>
      <w:r>
        <w:t xml:space="preserve">Failing a threshold is reported plainly as a null or weak result, not reinterpreted.</w:t>
      </w:r>
    </w:p>
    <w:p>
      <w:pPr>
        <w:pStyle w:val="Heading3"/>
        <w:spacing w:after="140"/>
      </w:pPr>
      <w:r>
        <w:t xml:space="preserve">4.6 Ethics, consent, and confidentiality</w:t>
      </w:r>
    </w:p>
    <w:p>
      <w:pPr>
        <w:spacing w:after="140"/>
      </w:pPr>
      <w:r>
        <w:t xml:space="preserve">All records are constructed and de-identified; none is internal, confidential, or tied to a real individual or organization. Participation is voluntary, uncompensated, and in a personal capacity. Reviewer responses are stored on an append-only basis and used only in aggregate. Attribution is opt-in: contributors are named only with consent, may participate anonymously, and may withdraw their name or contribution before any publication. Participants in the randomized comparison were blind to the two-condition design and are debriefed on closure. The study makes no proven-effectiveness claim.</w:t>
      </w:r>
    </w:p>
    <w:p>
      <w:pPr>
        <w:pStyle w:val="Heading3"/>
        <w:spacing w:after="140"/>
      </w:pPr>
      <w:r>
        <w:t xml:space="preserve">4.7 Supporting analyses: reproducibility and reliability</w:t>
      </w:r>
    </w:p>
    <w:p>
      <w:pPr>
        <w:spacing w:after="140"/>
      </w:pPr>
      <w:r>
        <w:t xml:space="preserve">In the reproducibility analysis, each constructed record was judged by three large language models, one from each of three independent vendors: Anthropic, OpenAI, and Google. Cross-vendor models were used, rather than three instances of one provider, so that agreement reflects the method rather than a single model lineage; the measure is mean pairwise agreement on the determination, run as an automated nightly process.</w:t>
      </w:r>
    </w:p>
    <w:p>
      <w:pPr>
        <w:spacing w:after="140"/>
      </w:pPr>
      <w:r>
        <w:t xml:space="preserve">In the reliability analysis, independent raters applied the five conditions to a shared record set. Raters whose codes begin with E are experts; the remainder are trained reviewers. Agreement is assessed with Gwet's AC1 (Gwet, 2008) as the primary chance-corrected coefficient, chosen for robustness to the kappa paradox under skewed marginals (Feinstein and Cicchetti, 1990; Byrt et al., 1993), with Krippendorff's alpha, Fleiss' kappa, and per-condition AC1 reported alongside.</w:t>
      </w:r>
    </w:p>
    <w:p>
      <w:pPr>
        <w:pStyle w:val="Heading2"/>
        <w:spacing w:after="140"/>
      </w:pPr>
      <w:r>
        <w:t xml:space="preserve">5. Results: DRR is detectable</w:t>
      </w:r>
    </w:p>
    <w:p>
      <w:pPr>
        <w:spacing w:after="140"/>
      </w:pPr>
      <w:r>
        <w:t xml:space="preserve">Thirty-two experienced professionals across 11 countries and 5 continents contributed 768 graded reads to this study, unpaid and in a personal capacity, each working through a full 24-record corpus. Twenty-two of them individually met or exceeded the 70 percent detection threshold set before the data were seen, and 10 scored perfectly. What follows rests on that effort.</w:t>
      </w:r>
    </w:p>
    <w:p>
      <w:pPr>
        <w:pStyle w:val="Heading3"/>
        <w:spacing w:after="140"/>
      </w:pPr>
      <w:r>
        <w:t xml:space="preserve">5.1 Primary detection result</w:t>
      </w:r>
    </w:p>
    <w:p>
      <w:pPr>
        <w:spacing w:after="140"/>
      </w:pPr>
      <w:r>
        <w:t xml:space="preserve">Sixteen reviewers completed the full 24-record corpus, producing 384 graded reads.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verified key</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rPr>
                <w:b/>
              </w:rPr>
              <w:t xml:space="preserve">72.7 to 95.1</w:t>
            </w:r>
          </w:p>
        </w:tc>
      </w:tr>
      <w:tr>
        <w:tc>
          <w:tcPr>
            <w:tcW w:w="4680" w:type="dxa"/>
          </w:tcPr>
          <w:p>
            <w:pPr>
              <w:spacing w:after="0"/>
            </w:pPr>
            <w:r>
              <w:t xml:space="preserve">Sensitivity (unsupported records correctly flagged)</w:t>
            </w:r>
          </w:p>
        </w:tc>
        <w:tc>
          <w:tcPr>
            <w:tcW w:w="4680" w:type="dxa"/>
          </w:tcPr>
          <w:p>
            <w:pPr>
              <w:spacing w:after="0"/>
            </w:pPr>
            <w:r>
              <w:t xml:space="preserve">87.0%</w:t>
            </w:r>
          </w:p>
        </w:tc>
      </w:tr>
      <w:tr>
        <w:tc>
          <w:tcPr>
            <w:tcW w:w="4680" w:type="dxa"/>
          </w:tcPr>
          <w:p>
            <w:pPr>
              <w:spacing w:after="0"/>
            </w:pPr>
            <w:r>
              <w:t xml:space="preserve">Specificity (grounded records correctly passed)</w:t>
            </w:r>
          </w:p>
        </w:tc>
        <w:tc>
          <w:tcPr>
            <w:tcW w:w="4680" w:type="dxa"/>
          </w:tcPr>
          <w:p>
            <w:pPr>
              <w:spacing w:after="0"/>
            </w:pPr>
            <w:r>
              <w:t xml:space="preserve">80.7%</w:t>
            </w:r>
          </w:p>
        </w:tc>
      </w:tr>
      <w:tr>
        <w:tc>
          <w:tcPr>
            <w:tcW w:w="4680" w:type="dxa"/>
          </w:tcPr>
          <w:p>
            <w:pPr>
              <w:spacing w:after="0"/>
            </w:pPr>
            <w:r>
              <w:t xml:space="preserve">Pre-registered threshold: point estimate at least 70%</w:t>
            </w:r>
          </w:p>
        </w:tc>
        <w:tc>
          <w:tcPr>
            <w:tcW w:w="4680" w:type="dxa"/>
          </w:tcPr>
          <w:p>
            <w:pPr>
              <w:spacing w:after="0"/>
            </w:pPr>
            <w:r>
              <w:rPr>
                <w:b/>
              </w:rPr>
              <w:t xml:space="preserve">Met</w:t>
            </w:r>
          </w:p>
        </w:tc>
      </w:tr>
      <w:tr>
        <w:tc>
          <w:tcPr>
            <w:tcW w:w="4680" w:type="dxa"/>
          </w:tcPr>
          <w:p>
            <w:pPr>
              <w:spacing w:after="0"/>
            </w:pPr>
            <w:r>
              <w:t xml:space="preserve">Pre-registered threshold: lower bound above 50%</w:t>
            </w:r>
          </w:p>
        </w:tc>
        <w:tc>
          <w:tcPr>
            <w:tcW w:w="4680" w:type="dxa"/>
          </w:tcPr>
          <w:p>
            <w:pPr>
              <w:spacing w:after="0"/>
            </w:pPr>
            <w:r>
              <w:rPr>
                <w:b/>
              </w:rPr>
              <w:t xml:space="preserve">Met</w:t>
            </w:r>
          </w:p>
        </w:tc>
      </w:tr>
    </w:tbl>
    <w:p>
      <w:pPr/>
      <w:r>
        <w:t/>
      </w:r>
    </w:p>
    <w:p>
      <w:pPr>
        <w:spacing w:after="140"/>
      </w:pPr>
      <w:r>
        <w:rPr>
          <w:b/>
        </w:rPr>
        <w:t xml:space="preserve">The pre-registered detection threshold is cleared on both criteria.</w:t>
      </w:r>
      <w:r>
        <w:t xml:space="preserve"> Experienced professionals, reading constructed records cold and blind to a verified key, identify records whose reasoning cannot be reconstructed at a rate well above chance and above the target set in advance.</w:t>
      </w:r>
    </w:p>
    <w:p>
      <w:pPr>
        <w:spacing w:after="140"/>
      </w:pPr>
      <w:r>
        <w:t xml:space="preserve">Sensitivity exceeds specificity by roughly seven points, meaning the panel was somewhat more likely to catch an unsupported record than to pass a grounded one cleanly. For a governance control this is the preferable direction of error: the failure mode is a well-founded record sent back for additional anchoring, rather than an unsupported record allowed to stand.</w:t>
      </w:r>
    </w:p>
    <w:p>
      <w:pPr>
        <w:spacing w:after="140"/>
      </w:pPr>
      <w:r>
        <w:t xml:space="preserve">Performance varied across reviewers, from 100 percent down to below chance, with five reviewers scoring perfectly. That dispersion is reported rather than smoothed, and is discussed in Section 7.</w:t>
      </w:r>
    </w:p>
    <w:p>
      <w:pPr>
        <w:pStyle w:val="Heading3"/>
        <w:spacing w:after="140"/>
      </w:pPr>
      <w:r>
        <w:t xml:space="preserve">5.2 Supporting result: cross-vendor reproducibility</w:t>
      </w:r>
    </w:p>
    <w:p>
      <w:pPr>
        <w:spacing w:after="140"/>
      </w:pPr>
      <w:r>
        <w:t xml:space="preserve">Across 15 constructed records, three independent vendor models reached a mean pairwise agreement of </w:t>
      </w:r>
      <w:r>
        <w:rPr>
          <w:b/>
        </w:rPr>
        <w:t xml:space="preserve">84 percent</w:t>
      </w:r>
      <w:r>
        <w:t xml:space="preserve"> on the determination (latest automated run 2026-07-06; the figure moved within a band of 78 to 87 percent as the set grew from 3 to 15 records). This indicates consistent application at machine level and is explicitly not a measure of correctness.</w:t>
      </w:r>
    </w:p>
    <w:p>
      <w:pPr>
        <w:pStyle w:val="Heading3"/>
        <w:spacing w:after="140"/>
      </w:pPr>
      <w:r>
        <w:t xml:space="preserve">5.3 Supporting result: inter-rater reliability</w:t>
      </w:r>
    </w:p>
    <w:p>
      <w:pPr>
        <w:spacing w:after="140"/>
      </w:pPr>
      <w:r>
        <w:t xml:space="preserve">The reliability analysis follows the plan and the acceptance floors specified in advance by the study's methodology author, including the choice of Gwet's AC1 as the primary coefficient under an anticipated skewed determination distribution. That specification is doing real work here: the skew arrived as predicted, and the coefficient chosen before the data were seen is the one that handles it.</w:t>
      </w:r>
    </w:p>
    <w:p>
      <w:pPr>
        <w:spacing w:after="140"/>
      </w:pPr>
      <w:r>
        <w:t xml:space="preserve">On a shared set of 10 records, expert reviewers reached </w:t>
      </w:r>
      <w:r>
        <w:rPr>
          <w:b/>
        </w:rPr>
        <w:t xml:space="preserve">Gwet's AC1 of 0.739</w:t>
      </w:r>
      <w:r>
        <w:t xml:space="preserve"> (raw pairwise agreement 80.0 percent, 36 labels, mean 3.6 raters per record), above the pre-registered point threshold of 0.61; trained reviewers reached </w:t>
      </w:r>
      <w:r>
        <w:rPr>
          <w:b/>
        </w:rPr>
        <w:t xml:space="preserve">0.624</w:t>
      </w:r>
      <w:r>
        <w:t xml:space="preserve"> (raw pairwise agreement 71.5 percent, 63 labels, mean 6.3 raters per record). The determination distribution was skewed, and under that skew the marginal-sensitive coefficients diverge from AC1 as the analysis plan anticipated, which is the documented reason AC1 was pre-registered as primary (experts: Krippendorff's alpha 0.617, Fleiss' kappa 0.646; trained: 0.340 and 0.285).</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Panel</w:t>
            </w:r>
          </w:p>
        </w:tc>
        <w:tc>
          <w:tcPr>
            <w:tcW w:w="1560" w:type="dxa"/>
          </w:tcPr>
          <w:p>
            <w:pPr>
              <w:spacing w:after="0"/>
            </w:pPr>
            <w:r>
              <w:t xml:space="preserve">Records</w:t>
            </w:r>
          </w:p>
        </w:tc>
        <w:tc>
          <w:tcPr>
            <w:tcW w:w="1560" w:type="dxa"/>
          </w:tcPr>
          <w:p>
            <w:pPr>
              <w:spacing w:after="0"/>
            </w:pPr>
            <w:r>
              <w:t xml:space="preserve">Labels</w:t>
            </w:r>
          </w:p>
        </w:tc>
        <w:tc>
          <w:tcPr>
            <w:tcW w:w="1560" w:type="dxa"/>
          </w:tcPr>
          <w:p>
            <w:pPr>
              <w:spacing w:after="0"/>
            </w:pPr>
            <w:r>
              <w:t xml:space="preserve">AC1</w:t>
            </w:r>
          </w:p>
        </w:tc>
        <w:tc>
          <w:tcPr>
            <w:tcW w:w="1560" w:type="dxa"/>
          </w:tcPr>
          <w:p>
            <w:pPr>
              <w:spacing w:after="0"/>
            </w:pPr>
            <w:r>
              <w:t xml:space="preserve">95% CI (analytic)</w:t>
            </w:r>
          </w:p>
        </w:tc>
        <w:tc>
          <w:tcPr>
            <w:tcW w:w="1560" w:type="dxa"/>
          </w:tcPr>
          <w:p>
            <w:pPr>
              <w:spacing w:after="0"/>
            </w:pPr>
            <w:r>
              <w:t xml:space="preserve">95% CI (bootstrap)</w:t>
            </w:r>
          </w:p>
        </w:tc>
      </w:tr>
      <w:tr>
        <w:tc>
          <w:tcPr>
            <w:tcW w:w="1560" w:type="dxa"/>
          </w:tcPr>
          <w:p>
            <w:pPr>
              <w:spacing w:after="0"/>
            </w:pPr>
            <w:r>
              <w:t xml:space="preserve">Experts</w:t>
            </w:r>
          </w:p>
        </w:tc>
        <w:tc>
          <w:tcPr>
            <w:tcW w:w="1560" w:type="dxa"/>
          </w:tcPr>
          <w:p>
            <w:pPr>
              <w:spacing w:after="0"/>
            </w:pPr>
            <w:r>
              <w:t xml:space="preserve">10</w:t>
            </w:r>
          </w:p>
        </w:tc>
        <w:tc>
          <w:tcPr>
            <w:tcW w:w="1560" w:type="dxa"/>
          </w:tcPr>
          <w:p>
            <w:pPr>
              <w:spacing w:after="0"/>
            </w:pPr>
            <w:r>
              <w:t xml:space="preserve">36</w:t>
            </w:r>
          </w:p>
        </w:tc>
        <w:tc>
          <w:tcPr>
            <w:tcW w:w="1560" w:type="dxa"/>
          </w:tcPr>
          <w:p>
            <w:pPr>
              <w:spacing w:after="0"/>
            </w:pPr>
            <w:r>
              <w:t xml:space="preserve">0.739</w:t>
            </w:r>
          </w:p>
        </w:tc>
        <w:tc>
          <w:tcPr>
            <w:tcW w:w="1560" w:type="dxa"/>
          </w:tcPr>
          <w:p>
            <w:pPr>
              <w:spacing w:after="0"/>
            </w:pPr>
            <w:r>
              <w:t xml:space="preserve">0.402 to 1.000</w:t>
            </w:r>
          </w:p>
        </w:tc>
        <w:tc>
          <w:tcPr>
            <w:tcW w:w="1560" w:type="dxa"/>
          </w:tcPr>
          <w:p>
            <w:pPr>
              <w:spacing w:after="0"/>
            </w:pPr>
            <w:r>
              <w:t xml:space="preserve">0.427 to 1.000</w:t>
            </w:r>
          </w:p>
        </w:tc>
      </w:tr>
      <w:tr>
        <w:tc>
          <w:tcPr>
            <w:tcW w:w="1560" w:type="dxa"/>
          </w:tcPr>
          <w:p>
            <w:pPr>
              <w:spacing w:after="0"/>
            </w:pPr>
            <w:r>
              <w:t xml:space="preserve">Trained reviewers</w:t>
            </w:r>
          </w:p>
        </w:tc>
        <w:tc>
          <w:tcPr>
            <w:tcW w:w="1560" w:type="dxa"/>
          </w:tcPr>
          <w:p>
            <w:pPr>
              <w:spacing w:after="0"/>
            </w:pPr>
            <w:r>
              <w:t xml:space="preserve">10</w:t>
            </w:r>
          </w:p>
        </w:tc>
        <w:tc>
          <w:tcPr>
            <w:tcW w:w="1560" w:type="dxa"/>
          </w:tcPr>
          <w:p>
            <w:pPr>
              <w:spacing w:after="0"/>
            </w:pPr>
            <w:r>
              <w:t xml:space="preserve">63</w:t>
            </w:r>
          </w:p>
        </w:tc>
        <w:tc>
          <w:tcPr>
            <w:tcW w:w="1560" w:type="dxa"/>
          </w:tcPr>
          <w:p>
            <w:pPr>
              <w:spacing w:after="0"/>
            </w:pPr>
            <w:r>
              <w:t xml:space="preserve">0.624</w:t>
            </w:r>
          </w:p>
        </w:tc>
        <w:tc>
          <w:tcPr>
            <w:tcW w:w="1560" w:type="dxa"/>
          </w:tcPr>
          <w:p>
            <w:pPr>
              <w:spacing w:after="0"/>
            </w:pPr>
            <w:r>
              <w:t xml:space="preserve">0.253 to 0.994</w:t>
            </w:r>
          </w:p>
        </w:tc>
        <w:tc>
          <w:tcPr>
            <w:tcW w:w="1560" w:type="dxa"/>
          </w:tcPr>
          <w:p>
            <w:pPr>
              <w:spacing w:after="0"/>
            </w:pPr>
            <w:r>
              <w:t xml:space="preserve">0.301 to 0.886</w:t>
            </w:r>
          </w:p>
        </w:tc>
      </w:tr>
    </w:tbl>
    <w:p>
      <w:pPr/>
      <w:r>
        <w:t/>
      </w:r>
    </w:p>
    <w:p>
      <w:pPr>
        <w:spacing w:after="140"/>
      </w:pPr>
      <w:r>
        <w:rPr>
          <w:b/>
        </w:rPr>
        <w:t xml:space="preserve">Both point estimates clear the pre-registered floor of 0.61. Neither clears the plan's secondary criterion that the lower confidence bound exceed 0.41</w:t>
      </w:r>
      <w:r>
        <w:t xml:space="preserve">, on the analytic interval: experts fall on the boundary at 0.402 and pass it on the bootstrap interval at 0.427, while trained reviewers do not meet it on either. This is stated rather than omitted, and it is a direct consequence of estimating a coefficient from 10 records.</w:t>
      </w:r>
    </w:p>
    <w:p>
      <w:pPr>
        <w:spacing w:after="140"/>
      </w:pPr>
      <w:r>
        <w:t xml:space="preserve">Under the conventional Landis and Koch bands, the expert coefficient of 0.739 sits in the substantial range, and it was reached by independent professionals who had never discussed these records with one another.</w:t>
      </w:r>
    </w:p>
    <w:p>
      <w:pPr>
        <w:spacing w:after="140"/>
      </w:pPr>
      <w:r>
        <w:rPr>
          <w:b/>
        </w:rPr>
        <w:t xml:space="preserve">These reliability figures are interim.</w:t>
      </w:r>
      <w:r>
        <w:t xml:space="preserve"> They rest on 10 records against a pre-registered pooled target of approximately 26, which is why the intervals above are as wide as they are. They are reported as an interim result and will be re-estimated at target, at which point the lower-bound criterion becomes a meaningful test rather than an artifact of sample size.</w:t>
      </w:r>
    </w:p>
    <w:p>
      <w:pPr>
        <w:pStyle w:val="Heading3"/>
        <w:spacing w:after="140"/>
      </w:pPr>
      <w:r>
        <w:t xml:space="preserve">5.4 Consistency of the detection result across recruitment routes</w:t>
      </w:r>
    </w:p>
    <w:p>
      <w:pPr>
        <w:spacing w:after="140"/>
      </w:pPr>
      <w:r>
        <w:t xml:space="preserve">The detection finding does not rest on a single recruitment route. Reviewers who entered the study through the randomized comparison and applied the same five conditions to the same records reached comparable accuracy, and the combined figure across every reviewer who applied the standard is reported in Appendix A. That appendix is a descriptive statement about detectability across the full expert base; the causal question belongs to Section 6.</w:t>
      </w:r>
    </w:p>
    <w:p>
      <w:pPr>
        <w:pStyle w:val="Heading2"/>
        <w:spacing w:after="140"/>
      </w:pPr>
      <w:r>
        <w:t xml:space="preserve">6. Secondary pre-registered analysis: does the standard improve on unaided judgment?</w:t>
      </w:r>
    </w:p>
    <w:p>
      <w:pPr>
        <w:spacing w:after="140"/>
      </w:pPr>
      <w:r>
        <w:t xml:space="preserve">A randomized comparison was built to isolate the value of the method itself. The participants are experienced professionals in the same domains as the panel, recruited separately and with no prior exposure to the standard; "JRS-naive" refers to that absence of exposure and not to any absence of expertise. Drawn from a single recruitment pool, they were randomly assigned, by a deterministic hash of their participant code and before they judged any record, to review the same 24 records either with the five conditions (standard condition) or with a single general question about adequacy of support (unaided condition).</w:t>
      </w:r>
    </w:p>
    <w:p>
      <w:pPr>
        <w:pStyle w:val="Heading3"/>
        <w:spacing w:after="140"/>
      </w:pPr>
      <w:r>
        <w:t xml:space="preserve">6.1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n</w:t>
            </w:r>
          </w:p>
        </w:tc>
        <w:tc>
          <w:tcPr>
            <w:tcW w:w="3120" w:type="dxa"/>
          </w:tcPr>
          <w:p>
            <w:pPr>
              <w:spacing w:after="0"/>
            </w:pPr>
            <w:r>
              <w:t xml:space="preserve">Accuracy</w:t>
            </w:r>
          </w:p>
        </w:tc>
      </w:tr>
      <w:tr>
        <w:tc>
          <w:tcPr>
            <w:tcW w:w="3120" w:type="dxa"/>
          </w:tcPr>
          <w:p>
            <w:pPr>
              <w:spacing w:after="0"/>
            </w:pPr>
            <w:r>
              <w:t xml:space="preserve">Standard condition</w:t>
            </w:r>
          </w:p>
        </w:tc>
        <w:tc>
          <w:tcPr>
            <w:tcW w:w="3120" w:type="dxa"/>
          </w:tcPr>
          <w:p>
            <w:pPr>
              <w:spacing w:after="0"/>
            </w:pPr>
            <w:r>
              <w:t xml:space="preserve">5</w:t>
            </w:r>
          </w:p>
        </w:tc>
        <w:tc>
          <w:tcPr>
            <w:tcW w:w="3120" w:type="dxa"/>
          </w:tcPr>
          <w:p>
            <w:pPr>
              <w:spacing w:after="0"/>
            </w:pPr>
            <w:r>
              <w:t xml:space="preserve">73.3%</w:t>
            </w:r>
          </w:p>
        </w:tc>
      </w:tr>
      <w:tr>
        <w:tc>
          <w:tcPr>
            <w:tcW w:w="3120" w:type="dxa"/>
          </w:tcPr>
          <w:p>
            <w:pPr>
              <w:spacing w:after="0"/>
            </w:pPr>
            <w:r>
              <w:t xml:space="preserve">Unaided condition</w:t>
            </w:r>
          </w:p>
        </w:tc>
        <w:tc>
          <w:tcPr>
            <w:tcW w:w="3120" w:type="dxa"/>
          </w:tcPr>
          <w:p>
            <w:pPr>
              <w:spacing w:after="0"/>
            </w:pPr>
            <w:r>
              <w:t xml:space="preserve">11</w:t>
            </w:r>
          </w:p>
        </w:tc>
        <w:tc>
          <w:tcPr>
            <w:tcW w:w="3120" w:type="dxa"/>
          </w:tcPr>
          <w:p>
            <w:pPr>
              <w:spacing w:after="0"/>
            </w:pPr>
            <w:r>
              <w:t xml:space="preserve">69.3%</w:t>
            </w:r>
          </w:p>
        </w:tc>
      </w:tr>
      <w:tr>
        <w:tc>
          <w:tcPr>
            <w:tcW w:w="3120" w:type="dxa"/>
          </w:tcPr>
          <w:p>
            <w:pPr>
              <w:spacing w:after="0"/>
            </w:pPr>
            <w:r>
              <w:rPr>
                <w:b/>
              </w:rPr>
              <w:t xml:space="preserve">Difference</w:t>
            </w:r>
          </w:p>
        </w:tc>
        <w:tc>
          <w:tcPr>
            <w:tcW w:w="3120" w:type="dxa"/>
          </w:tcPr>
          <w:p>
            <w:pPr>
              <w:spacing w:after="0"/>
            </w:pPr>
            <w:r>
              <w:t/>
            </w:r>
          </w:p>
        </w:tc>
        <w:tc>
          <w:tcPr>
            <w:tcW w:w="3120" w:type="dxa"/>
          </w:tcPr>
          <w:p>
            <w:pPr>
              <w:spacing w:after="0"/>
            </w:pPr>
            <w:r>
              <w:rPr>
                <w:b/>
              </w:rPr>
              <w:t xml:space="preserve">+4.0 pp</w:t>
            </w:r>
          </w:p>
        </w:tc>
      </w:tr>
    </w:tbl>
    <w:p>
      <w:pPr/>
      <w:r>
        <w:t/>
      </w:r>
    </w:p>
    <w:p>
      <w:pPr>
        <w:spacing w:after="140"/>
      </w:pPr>
      <w:r>
        <w:t xml:space="preserve">The difference favors the standard. It is </w:t>
      </w:r>
      <w:r>
        <w:rPr>
          <w:b/>
        </w:rPr>
        <w:t xml:space="preserve">not statistically distinguishable from zero</w:t>
      </w:r>
      <w:r>
        <w:t xml:space="preserve">: participant-level bootstrap 95 percent CI of the difference is -19.9 to +28.8 percentage points, Welch t = 0.30 on 11.3 degrees of freedom. </w:t>
      </w:r>
      <w:r>
        <w:rPr>
          <w:b/>
        </w:rPr>
        <w:t xml:space="preserve">Under the pre-registered decision rule, this analysis is reported as a null.</w:t>
      </w:r>
      <w:r>
        <w:t xml:space="preserve"> The standard is not shown to improve on unaided judgment by this study.</w:t>
      </w:r>
    </w:p>
    <w:p>
      <w:pPr>
        <w:pStyle w:val="Heading3"/>
        <w:spacing w:after="140"/>
      </w:pPr>
      <w:r>
        <w:t xml:space="preserve">6.2 The comparison is a hard test, and the baseline is strong</w:t>
      </w:r>
    </w:p>
    <w:p>
      <w:pPr>
        <w:spacing w:after="140"/>
      </w:pPr>
      <w:r>
        <w:t xml:space="preserve">Two features of the design bound how large an effect this comparison could ever have shown.</w:t>
      </w:r>
    </w:p>
    <w:p>
      <w:pPr>
        <w:spacing w:after="140"/>
      </w:pPr>
      <w:r>
        <w:t xml:space="preserve">First, </w:t>
      </w:r>
      <w:r>
        <w:rPr>
          <w:b/>
        </w:rPr>
        <w:t xml:space="preserve">the unaided arm is not a weak control.</w:t>
      </w:r>
      <w:r>
        <w:t xml:space="preserve"> Those reviewers are experienced professionals reading records without the five conditions, and they detected unreconstructable records at 69.3 percent, above chance in their own right (one-sample t = 2.06 on 10 degrees of freedom). Six of the 11 met the 70 percent threshold with no method at all. A structured instrument is being asked to improve on competent professional judgment that is already working, which is the most demanding contrast available and the least likely to produce a large margin.</w:t>
      </w:r>
    </w:p>
    <w:p>
      <w:pPr>
        <w:spacing w:after="140"/>
      </w:pPr>
      <w:r>
        <w:t xml:space="preserve">Second, </w:t>
      </w:r>
      <w:r>
        <w:rPr>
          <w:b/>
        </w:rPr>
        <w:t xml:space="preserve">the ceiling is close.</w:t>
      </w:r>
      <w:r>
        <w:t xml:space="preserve"> With a strong baseline near 70 percent and a practical ceiling at 100, the space available for the method to demonstrate value is roughly 30 points wide, and a difference of the size a small trial can detect consumes most of it.</w:t>
      </w:r>
    </w:p>
    <w:p>
      <w:pPr>
        <w:spacing w:after="140"/>
      </w:pPr>
      <w:r>
        <w:t xml:space="preserve">Neither point rescues the result, and neither is offered as one. They explain why a null here is weaker evidence against the standard than a null from a trial with a naive control would be, and they set up the design question in Section 8: the informative next trial varies reviewer experience, rather than adding more experts to both arms.</w:t>
      </w:r>
    </w:p>
    <w:p>
      <w:pPr>
        <w:pStyle w:val="Heading3"/>
        <w:spacing w:after="140"/>
      </w:pPr>
      <w:r>
        <w:t xml:space="preserve">6.3 Why the analysis was underpowered, stated precisely</w:t>
      </w:r>
    </w:p>
    <w:p>
      <w:pPr>
        <w:spacing w:after="140"/>
      </w:pPr>
      <w:r>
        <w:t xml:space="preserve">The observed effect is Cohen's d = 0.140 (pooled sd 28.6). At the sample reached, the smallest difference the comparison could have detected at 80 percent power was approximately 43 percentage points. </w:t>
      </w:r>
      <w:r>
        <w:rPr>
          <w:b/>
        </w:rPr>
        <w:t xml:space="preserve">The comparison was never capable of detecting an effect of the size that appears to be present.</w:t>
      </w:r>
    </w:p>
    <w:p>
      <w:pPr>
        <w:spacing w:after="140"/>
      </w:pPr>
      <w:r>
        <w:t xml:space="preserve">This is a statement about the design, not about the standard. A null from an underpowered test is uninformative about the underlying effect, and we decline to interpret it in either direction.</w:t>
      </w:r>
    </w:p>
    <w:p>
      <w:pPr>
        <w:pStyle w:val="Heading3"/>
        <w:spacing w:after="140"/>
      </w:pPr>
      <w:r>
        <w:t xml:space="preserve">6.4 Effect-size estimate for a conclusive trial</w:t>
      </w:r>
    </w:p>
    <w:p>
      <w:pPr>
        <w:spacing w:after="140"/>
      </w:pPr>
      <w:r>
        <w:t xml:space="preserve">The value this analysis does deliver is a defensible effect-size estimate for designing a properly powered replication: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Target</w:t>
            </w:r>
          </w:p>
        </w:tc>
        <w:tc>
          <w:tcPr>
            <w:tcW w:w="4680" w:type="dxa"/>
          </w:tcPr>
          <w:p>
            <w:pPr>
              <w:spacing w:after="0"/>
            </w:pPr>
            <w:r>
              <w:t xml:space="preserve">Completers required per condition</w:t>
            </w:r>
          </w:p>
        </w:tc>
      </w:tr>
      <w:tr>
        <w:tc>
          <w:tcPr>
            <w:tcW w:w="4680" w:type="dxa"/>
          </w:tcPr>
          <w:p>
            <w:pPr>
              <w:spacing w:after="0"/>
            </w:pPr>
            <w:r>
              <w:t xml:space="preserve">80 percent power, alpha .05</w:t>
            </w:r>
          </w:p>
        </w:tc>
        <w:tc>
          <w:tcPr>
            <w:tcW w:w="4680" w:type="dxa"/>
          </w:tcPr>
          <w:p>
            <w:pPr>
              <w:spacing w:after="0"/>
            </w:pPr>
            <w:r>
              <w:t xml:space="preserve">approximately 800</w:t>
            </w:r>
          </w:p>
        </w:tc>
      </w:tr>
      <w:tr>
        <w:tc>
          <w:tcPr>
            <w:tcW w:w="4680" w:type="dxa"/>
          </w:tcPr>
          <w:p>
            <w:pPr>
              <w:spacing w:after="0"/>
            </w:pPr>
            <w:r>
              <w:t xml:space="preserve">90 percent power, alpha .05</w:t>
            </w:r>
          </w:p>
        </w:tc>
        <w:tc>
          <w:tcPr>
            <w:tcW w:w="4680" w:type="dxa"/>
          </w:tcPr>
          <w:p>
            <w:pPr>
              <w:spacing w:after="0"/>
            </w:pPr>
            <w:r>
              <w:t xml:space="preserve">approximately 1,070</w:t>
            </w:r>
          </w:p>
        </w:tc>
      </w:tr>
    </w:tbl>
    <w:p>
      <w:pPr/>
      <w:r>
        <w:t/>
      </w:r>
    </w:p>
    <w:p>
      <w:pPr>
        <w:spacing w:after="140"/>
      </w:pPr>
      <w:r>
        <w:t xml:space="preserve">We report this specification so that a future trial, whether ours or another group's, can be sized correctly at the outset rather than discovering its limits afterward.</w:t>
      </w:r>
    </w:p>
    <w:p>
      <w:pPr>
        <w:pStyle w:val="Heading2"/>
        <w:spacing w:after="140"/>
      </w:pPr>
      <w:r>
        <w:t xml:space="preserve">7. Discussion</w:t>
      </w:r>
    </w:p>
    <w:p>
      <w:pPr>
        <w:spacing w:after="140"/>
      </w:pPr>
      <w:r>
        <w:rPr>
          <w:b/>
        </w:rPr>
        <w:t xml:space="preserve">The primary contribution is that DRR is detectable.</w:t>
      </w:r>
      <w:r>
        <w:t xml:space="preserve"> This is the precondition for everything downstream. A documentation property that experienced reviewers cannot identify is not a governable property, and any control built on human review of it would be unfounded. The panel result establishes that the property is real, visible, and identifiable at a rate well above chance by professionals from a wide range of jurisdictions and first languages.</w:t>
      </w:r>
    </w:p>
    <w:p>
      <w:pPr>
        <w:spacing w:after="140"/>
      </w:pPr>
      <w:r>
        <w:rPr>
          <w:b/>
        </w:rPr>
        <w:t xml:space="preserve">Detection is not the same as remediation.</w:t>
      </w:r>
      <w:r>
        <w:t xml:space="preserve"> Establishing that reviewers can identify unreconstructable records leaves open whether a structured method helps them do it better, faster, or more consistently than unaided judgment. That question is genuinely open, and Section 6 reports honestly that this study could not settle it.</w:t>
      </w:r>
    </w:p>
    <w:p>
      <w:pPr>
        <w:spacing w:after="140"/>
      </w:pPr>
      <w:r>
        <w:rPr>
          <w:b/>
        </w:rPr>
        <w:t xml:space="preserve">An observation, exploratory and not pre-registered.</w:t>
      </w:r>
      <w:r>
        <w:t xml:space="preserve"> Dispersion in accuracy differed markedly between conditions in the secondary analysis. Reviewers using the five conditions clustered more tightly (sd 21.2) than reviewers working unaided (sd 34.0), and the unaided distribution was bimodal, with several participants scoring near-perfectly and several below chance, and few in between. A plausible mechanism is that an unaided reviewer must invent a threshold, and private thresholds vary widely, while explicit conditions constrain the space of reasonable readings. We flag this because it suggests that variance reduction, rather than mean improvement, may be the more important effect to test. It is not established here: the formal tests of the variance difference are not significant, and the observation is post-hoc. A dedicated, pre-registered test would be required.</w:t>
      </w:r>
    </w:p>
    <w:p>
      <w:pPr>
        <w:spacing w:after="140"/>
      </w:pPr>
      <w:r>
        <w:rPr>
          <w:b/>
        </w:rPr>
        <w:t xml:space="preserve">Practical implication.</w:t>
      </w:r>
      <w:r>
        <w:t xml:space="preserve"> For an organization, a review process in which some reviewers are highly accurate and others perform below chance is difficult to manage even when the average is acceptable, because the variance is invisible at the point of use. If a structured standard narrows that spread, the operational value may exceed what a comparison of means would capture.</w:t>
      </w:r>
    </w:p>
    <w:p>
      <w:pPr>
        <w:spacing w:after="140"/>
      </w:pPr>
      <w:r>
        <w:rPr>
          <w:b/>
        </w:rPr>
        <w:t xml:space="preserve">What the study supports, stated in full.</w:t>
      </w:r>
      <w:r>
        <w:t xml:space="preserve"> Decision Reconstruction Risk is detectable by experienced professionals: 83.9 percent in the panel, 81.3 percent across all 21 reviewers who applied the standard through two separate recruitment routes, both clearing a threshold fixed before the data were seen. The review is applied consistently by independent machines at 84 percent cross-vendor agreement and by independent human experts at AC1 0.74, interim. What the study does not support is a claim that the method improves on the unaided judgment of an already expert reviewer; the randomized test of that question returned a null, and it was run under the least favourable conditions for finding an effect. Those two statements sit together without tension. A property can be real, visible, and worth building controls around before anyone has shown that a particular instrument improves on expert intuition at detecting it.</w:t>
      </w:r>
    </w:p>
    <w:p>
      <w:pPr>
        <w:pStyle w:val="Heading2"/>
        <w:spacing w:after="140"/>
      </w:pPr>
      <w:r>
        <w:t xml:space="preserve">8. Limitations</w:t>
      </w:r>
    </w:p>
    <w:p>
      <w:pPr>
        <w:spacing w:after="140"/>
      </w:pPr>
      <w:r>
        <w:t xml:space="preserve">The corpus is constructed rather than drawn from live records, which supports a clean detection test but does not establish real-world effectiveness; criterion validity against documented real-case outcomes is a separate line of work.</w:t>
      </w:r>
    </w:p>
    <w:p>
      <w:pPr>
        <w:spacing w:after="140"/>
      </w:pPr>
      <w:r>
        <w:t xml:space="preserve">The panel is recruited, not sampled, and self-selects for interest in the topic. Generalization beyond the sampled domains and jurisdictions is not claimed.</w:t>
      </w:r>
    </w:p>
    <w:p>
      <w:pPr>
        <w:spacing w:after="140"/>
      </w:pPr>
      <w:r>
        <w:rPr>
          <w:b/>
        </w:rPr>
        <w:t xml:space="preserve">The expert panel and the randomized comparison are not compared to one another as a test of the standard.</w:t>
      </w:r>
      <w:r>
        <w:t xml:space="preserve"> Both groups comprise experienced professionals in relevant domains, so the difference between them is not a difference in expertise; "JRS-naive" denotes no prior exposure to the method. What separates them is that the panel was recruited directly and was not randomized against the comparison arms, so any between-group difference reflects recruitment route and self-selection as well as method, and cannot carry a causal reading. The only valid method comparison in this design is between the two randomized conditions in Section 6, which is reported there as a null. Section 5.4 pools the two groups that applied the standard for a detection estimate only, which is a descriptive statement about detectability and not a comparison.</w:t>
      </w:r>
    </w:p>
    <w:p>
      <w:pPr>
        <w:spacing w:after="140"/>
      </w:pPr>
      <w:r>
        <w:rPr>
          <w:b/>
        </w:rPr>
        <w:t xml:space="preserve">Both randomized arms were drawn from the same pool of experienced professionals, and that bounds what the comparison can show.</w:t>
      </w:r>
      <w:r>
        <w:t xml:space="preserve"> A structured method has the most room to help a reviewer who would otherwise miss things. Testing it on professionals who already perform the task competently is the least favourable condition for detecting an effect, and it is the condition this trial ran under. The design cannot speak to the standard's value for less experienced reviewers, for reviewers working outside their domain, or for teams seeking consistency rather than peak accuracy, and those are the settings where a larger effect is plausible. A future trial that contrasts experienced and less experienced reviewers, each with and without the method, would be more informative than a larger version of this one.</w:t>
      </w:r>
    </w:p>
    <w:p>
      <w:pPr>
        <w:spacing w:after="140"/>
      </w:pPr>
      <w:r>
        <w:t xml:space="preserve">Reviewer accuracy varied widely, including two panel members scoring below chance. Response patterns were examined and showed genuine discrimination rather than straight-lining or missing data, so these are treated as real observations and retained.</w:t>
      </w:r>
    </w:p>
    <w:p>
      <w:pPr>
        <w:spacing w:after="140"/>
      </w:pPr>
      <w:r>
        <w:t xml:space="preserve">Reliability figures are interim on 10 of approximately 26 pooled records. JRS remains in a validation phase and makes no proven-effectiveness claim.</w:t>
      </w:r>
    </w:p>
    <w:p>
      <w:pPr>
        <w:pStyle w:val="Heading2"/>
        <w:spacing w:after="140"/>
      </w:pPr>
      <w:r>
        <w:t xml:space="preserve">9. Conclusion</w:t>
      </w:r>
    </w:p>
    <w:p>
      <w:pPr>
        <w:spacing w:after="140"/>
      </w:pPr>
      <w:r>
        <w:t xml:space="preserve">The drafting tool and the technology stack will keep changing. The evidentiary test does not. A record that cannot be reconstructed from its own contents cannot be independently defended, whoever or whatever produced it.</w:t>
      </w:r>
    </w:p>
    <w:p>
      <w:pPr>
        <w:spacing w:after="140"/>
      </w:pPr>
      <w:r>
        <w:t xml:space="preserve">This paper establishes that Decision Reconstruction Risk is detectable: an international panel of experienced professionals, reading records cold and blind to a verified key, identified unreconstructable records at 83.9 percent accuracy, clearing a threshold set before the data were seen. It further establishes that the review can be applied consistently by independent machines and by independent human experts.</w:t>
      </w:r>
    </w:p>
    <w:p>
      <w:pPr>
        <w:spacing w:after="140"/>
      </w:pPr>
      <w:r>
        <w:t xml:space="preserve">Whether a structured standard improves on unaided professional judgment remains open. We report the attempt, the null, and the sample size a conclusive answer would require. The property is real and measurable; sizing the control's added value is the next study, and it can now be designed properly.</w:t>
      </w:r>
    </w:p>
    <w:p>
      <w:pPr>
        <w:pStyle w:val="Heading2"/>
        <w:spacing w:after="140"/>
      </w:pPr>
      <w:r>
        <w:t xml:space="preserve">Appendix A. Detection across the full expert base</w:t>
      </w:r>
    </w:p>
    <w:p>
      <w:pPr>
        <w:spacing w:after="140"/>
      </w:pPr>
      <w:r>
        <w:rPr>
          <w:i/>
        </w:rPr>
        <w:t xml:space="preserve">Placed in an appendix because it combines groups that were not randomized against one another. It is reported for completeness as a descriptive detection estimate and carries no causal reading.</w:t>
      </w:r>
    </w:p>
    <w:p>
      <w:pPr>
        <w:spacing w:after="140"/>
      </w:pPr>
      <w:r>
        <w:t xml:space="preserve">Every reviewer in this study, in the panel and in both randomized arms, is an experienced professional in a relevant domain. The term "JRS-naive," used for the randomized recruits, denotes no prior exposure to the method and not an absence of expertise. That composition allows a descriptive question separate from the randomized test: how well do experienced professionals detect unreconstructable records, whatever route brought them into the study?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Group</w:t>
            </w:r>
          </w:p>
        </w:tc>
        <w:tc>
          <w:tcPr>
            <w:tcW w:w="1872" w:type="dxa"/>
          </w:tcPr>
          <w:p>
            <w:pPr>
              <w:spacing w:after="0"/>
            </w:pPr>
            <w:r>
              <w:t xml:space="preserve">Reviewers</w:t>
            </w:r>
          </w:p>
        </w:tc>
        <w:tc>
          <w:tcPr>
            <w:tcW w:w="1872" w:type="dxa"/>
          </w:tcPr>
          <w:p>
            <w:pPr>
              <w:spacing w:after="0"/>
            </w:pPr>
            <w:r>
              <w:t xml:space="preserve">Graded reads</w:t>
            </w:r>
          </w:p>
        </w:tc>
        <w:tc>
          <w:tcPr>
            <w:tcW w:w="1872" w:type="dxa"/>
          </w:tcPr>
          <w:p>
            <w:pPr>
              <w:spacing w:after="0"/>
            </w:pPr>
            <w:r>
              <w:t xml:space="preserve">Accuracy</w:t>
            </w:r>
          </w:p>
        </w:tc>
        <w:tc>
          <w:tcPr>
            <w:tcW w:w="1872" w:type="dxa"/>
          </w:tcPr>
          <w:p>
            <w:pPr>
              <w:spacing w:after="0"/>
            </w:pPr>
            <w:r>
              <w:t xml:space="preserve">95% CI</w:t>
            </w:r>
          </w:p>
        </w:tc>
      </w:tr>
      <w:tr>
        <w:tc>
          <w:tcPr>
            <w:tcW w:w="1872" w:type="dxa"/>
          </w:tcPr>
          <w:p>
            <w:pPr>
              <w:spacing w:after="0"/>
            </w:pPr>
            <w:r>
              <w:t xml:space="preserve">Panel, applying the standard</w:t>
            </w:r>
          </w:p>
        </w:tc>
        <w:tc>
          <w:tcPr>
            <w:tcW w:w="1872" w:type="dxa"/>
          </w:tcPr>
          <w:p>
            <w:pPr>
              <w:spacing w:after="0"/>
            </w:pPr>
            <w:r>
              <w:t xml:space="preserve">16</w:t>
            </w:r>
          </w:p>
        </w:tc>
        <w:tc>
          <w:tcPr>
            <w:tcW w:w="1872" w:type="dxa"/>
          </w:tcPr>
          <w:p>
            <w:pPr>
              <w:spacing w:after="0"/>
            </w:pPr>
            <w:r>
              <w:t xml:space="preserve">384</w:t>
            </w:r>
          </w:p>
        </w:tc>
        <w:tc>
          <w:tcPr>
            <w:tcW w:w="1872" w:type="dxa"/>
          </w:tcPr>
          <w:p>
            <w:pPr>
              <w:spacing w:after="0"/>
            </w:pPr>
            <w:r>
              <w:t xml:space="preserve">83.9%</w:t>
            </w:r>
          </w:p>
        </w:tc>
        <w:tc>
          <w:tcPr>
            <w:tcW w:w="1872" w:type="dxa"/>
          </w:tcPr>
          <w:p>
            <w:pPr>
              <w:spacing w:after="0"/>
            </w:pPr>
            <w:r>
              <w:t xml:space="preserve">72.7 to 95.1</w:t>
            </w:r>
          </w:p>
        </w:tc>
      </w:tr>
      <w:tr>
        <w:tc>
          <w:tcPr>
            <w:tcW w:w="1872" w:type="dxa"/>
          </w:tcPr>
          <w:p>
            <w:pPr>
              <w:spacing w:after="0"/>
            </w:pPr>
            <w:r>
              <w:t xml:space="preserve">Randomized standard arm</w:t>
            </w:r>
          </w:p>
        </w:tc>
        <w:tc>
          <w:tcPr>
            <w:tcW w:w="1872" w:type="dxa"/>
          </w:tcPr>
          <w:p>
            <w:pPr>
              <w:spacing w:after="0"/>
            </w:pPr>
            <w:r>
              <w:t xml:space="preserve">5</w:t>
            </w:r>
          </w:p>
        </w:tc>
        <w:tc>
          <w:tcPr>
            <w:tcW w:w="1872" w:type="dxa"/>
          </w:tcPr>
          <w:p>
            <w:pPr>
              <w:spacing w:after="0"/>
            </w:pPr>
            <w:r>
              <w:t xml:space="preserve">120</w:t>
            </w:r>
          </w:p>
        </w:tc>
        <w:tc>
          <w:tcPr>
            <w:tcW w:w="1872" w:type="dxa"/>
          </w:tcPr>
          <w:p>
            <w:pPr>
              <w:spacing w:after="0"/>
            </w:pPr>
            <w:r>
              <w:t xml:space="preserve">73.3%</w:t>
            </w:r>
          </w:p>
        </w:tc>
        <w:tc>
          <w:tcPr>
            <w:tcW w:w="1872" w:type="dxa"/>
          </w:tcPr>
          <w:p>
            <w:pPr>
              <w:spacing w:after="0"/>
            </w:pPr>
            <w:r>
              <w:t xml:space="preserve">47.1 to 99.6</w:t>
            </w:r>
          </w:p>
        </w:tc>
      </w:tr>
      <w:tr>
        <w:tc>
          <w:tcPr>
            <w:tcW w:w="1872" w:type="dxa"/>
          </w:tcPr>
          <w:p>
            <w:pPr>
              <w:spacing w:after="0"/>
            </w:pPr>
            <w:r>
              <w:rPr>
                <w:b/>
              </w:rPr>
              <w:t xml:space="preserve">All reviewers applying the standard</w:t>
            </w:r>
          </w:p>
        </w:tc>
        <w:tc>
          <w:tcPr>
            <w:tcW w:w="1872" w:type="dxa"/>
          </w:tcPr>
          <w:p>
            <w:pPr>
              <w:spacing w:after="0"/>
            </w:pPr>
            <w:r>
              <w:rPr>
                <w:b/>
              </w:rPr>
              <w:t xml:space="preserve">21</w:t>
            </w:r>
          </w:p>
        </w:tc>
        <w:tc>
          <w:tcPr>
            <w:tcW w:w="1872" w:type="dxa"/>
          </w:tcPr>
          <w:p>
            <w:pPr>
              <w:spacing w:after="0"/>
            </w:pPr>
            <w:r>
              <w:rPr>
                <w:b/>
              </w:rPr>
              <w:t xml:space="preserve">504</w:t>
            </w:r>
          </w:p>
        </w:tc>
        <w:tc>
          <w:tcPr>
            <w:tcW w:w="1872" w:type="dxa"/>
          </w:tcPr>
          <w:p>
            <w:pPr>
              <w:spacing w:after="0"/>
            </w:pPr>
            <w:r>
              <w:rPr>
                <w:b/>
              </w:rPr>
              <w:t xml:space="preserve">81.3%</w:t>
            </w:r>
          </w:p>
        </w:tc>
        <w:tc>
          <w:tcPr>
            <w:tcW w:w="1872" w:type="dxa"/>
          </w:tcPr>
          <w:p>
            <w:pPr>
              <w:spacing w:after="0"/>
            </w:pPr>
            <w:r>
              <w:rPr>
                <w:b/>
              </w:rPr>
              <w:t xml:space="preserve">71.8 to 90.9</w:t>
            </w:r>
          </w:p>
        </w:tc>
      </w:tr>
      <w:tr>
        <w:tc>
          <w:tcPr>
            <w:tcW w:w="1872" w:type="dxa"/>
          </w:tcPr>
          <w:p>
            <w:pPr>
              <w:spacing w:after="0"/>
            </w:pPr>
            <w:r>
              <w:t xml:space="preserve">All experts, method or not</w:t>
            </w:r>
          </w:p>
        </w:tc>
        <w:tc>
          <w:tcPr>
            <w:tcW w:w="1872" w:type="dxa"/>
          </w:tcPr>
          <w:p>
            <w:pPr>
              <w:spacing w:after="0"/>
            </w:pPr>
            <w:r>
              <w:t xml:space="preserve">32</w:t>
            </w:r>
          </w:p>
        </w:tc>
        <w:tc>
          <w:tcPr>
            <w:tcW w:w="1872" w:type="dxa"/>
          </w:tcPr>
          <w:p>
            <w:pPr>
              <w:spacing w:after="0"/>
            </w:pPr>
            <w:r>
              <w:t xml:space="preserve">768</w:t>
            </w:r>
          </w:p>
        </w:tc>
        <w:tc>
          <w:tcPr>
            <w:tcW w:w="1872" w:type="dxa"/>
          </w:tcPr>
          <w:p>
            <w:pPr>
              <w:spacing w:after="0"/>
            </w:pPr>
            <w:r>
              <w:t xml:space="preserve">77.2%</w:t>
            </w:r>
          </w:p>
        </w:tc>
        <w:tc>
          <w:tcPr>
            <w:tcW w:w="1872" w:type="dxa"/>
          </w:tcPr>
          <w:p>
            <w:pPr>
              <w:spacing w:after="0"/>
            </w:pPr>
            <w:r>
              <w:t xml:space="preserve">68.2 to 86.3</w:t>
            </w:r>
          </w:p>
        </w:tc>
      </w:tr>
    </w:tbl>
    <w:p>
      <w:pPr/>
      <w:r>
        <w:t/>
      </w:r>
    </w:p>
    <w:p>
      <w:pPr>
        <w:spacing w:after="140"/>
      </w:pPr>
      <w:r>
        <w:t xml:space="preserve">Pooled across every reviewer who applied the five conditions, detection accuracy is 81.3 percent with a lower confidence bound of 71.8, which clears the pre-registered threshold on a base more than twice the size of the panel alone and drawn through two separate recruitment routes. Sixteen of those 21 reviewers individually met or exceeded the 70 percent threshold. Against chance, the pooled result is decisive (one-sample t = 6.83 on 20 degrees of freedom).</w:t>
      </w:r>
    </w:p>
    <w:p>
      <w:pPr>
        <w:spacing w:after="140"/>
      </w:pPr>
      <w:r>
        <w:rPr>
          <w:b/>
        </w:rPr>
        <w:t xml:space="preserve">This pooling is a detection estimate, not a comparison.</w:t>
      </w:r>
      <w:r>
        <w:t xml:space="preserve"> The panel and the randomized standard arm applied the same instrument to the same records, which is what makes a combined detection figure meaningful. They were not randomized against one another, so nothing in this subsection speaks to whether the method causes better detection. That question belongs to Section 6 and is answered there as a null.</w:t>
      </w:r>
    </w:p>
    <w:p>
      <w:pPr>
        <w:pStyle w:val="Heading2"/>
        <w:spacing w:after="140"/>
      </w:pPr>
      <w:r>
        <w:t xml:space="preserve">References</w:t>
      </w:r>
    </w:p>
    <w:p>
      <w:pPr>
        <w:spacing w:after="140"/>
      </w:pPr>
      <w:r>
        <w:t xml:space="preserve">Byrt, T., Bishop, J., Carlin, J.B., 1993. Bias, prevalence and kappa. Journal of Clinical Epidemiology 46 (5), 423-429.</w:t>
      </w:r>
    </w:p>
    <w:p>
      <w:pPr>
        <w:spacing w:after="140"/>
      </w:pPr>
      <w:r>
        <w:t xml:space="preserve">Cohen, J., 1960. A coefficient of agreement for nominal scales. Educational and Psychological Measurement 20 (1), 37-46.</w:t>
      </w:r>
    </w:p>
    <w:p>
      <w:pPr>
        <w:spacing w:after="140"/>
      </w:pPr>
      <w:r>
        <w:t xml:space="preserve">Feinstein, A.R., Cicchetti, D.V., 1990. High agreement but low kappa: I. The problems of two paradoxes. Journal of Clinical Epidemiology 43 (6), 543-549.</w:t>
      </w:r>
    </w:p>
    <w:p>
      <w:pPr>
        <w:spacing w:after="140"/>
      </w:pPr>
      <w:r>
        <w:t xml:space="preserve">Fleiss, J.L., 1971. Measuring nominal scale agreement among many raters. Psychological Bulletin 76 (5), 378-382.</w:t>
      </w:r>
    </w:p>
    <w:p>
      <w:pPr>
        <w:spacing w:after="140"/>
      </w:pPr>
      <w:r>
        <w:t xml:space="preserve">Gwet, K.L., 2008. Computing inter-rater reliability and its variance in the presence of high agreement. British Journal of Mathematical and Statistical Psychology 61 (1), 29-48.</w:t>
      </w:r>
    </w:p>
    <w:p>
      <w:pPr>
        <w:spacing w:after="140"/>
      </w:pPr>
      <w:r>
        <w:t xml:space="preserve">Gwet, K.L., 2014. Handbook of Inter-Rater Reliability, fourth ed. Advanced Analytics, Gaithersburg, MD.</w:t>
      </w:r>
    </w:p>
    <w:p>
      <w:pPr>
        <w:spacing w:after="140"/>
      </w:pPr>
      <w:r>
        <w:t xml:space="preserve">Krippendorff, K., 2004. Content Analysis: An Introduction to Its Methodology, second ed. Sage, Thousand Oaks, CA.</w:t>
      </w:r>
    </w:p>
    <w:p>
      <w:pPr>
        <w:spacing w:after="140"/>
      </w:pPr>
      <w:r>
        <w:t xml:space="preserve">Landis, J.R., Koch, G.G., 1977. The measurement of observer agreement for categorical data. Biometrics 33 (1), 159-174.</w:t>
      </w:r>
    </w:p>
    <w:p>
      <w:pPr>
        <w:pStyle w:val="Heading2"/>
        <w:spacing w:after="140"/>
      </w:pPr>
      <w:r>
        <w:t xml:space="preserve">Acknowledgments</w:t>
      </w:r>
    </w:p>
    <w:p>
      <w:pPr>
        <w:spacing w:after="140"/>
      </w:pPr>
      <w:r>
        <w:t xml:space="preserve">This study exists because 32 experienced professionals across 11 countries and 5 continents each read a full corpus of 24 records with care, on their own time, without compensation, and with no stake in the outcome. That is 768 independent judgments contributed to a question none of them had to take an interest in. The quality of the panel is the reason the detection result is worth reporting at all, and the international and linguistic range of that panel is a methodological asset rather than a courtesy, for the reasons set out in Section 2.1.</w:t>
      </w:r>
    </w:p>
    <w:p>
      <w:pPr>
        <w:spacing w:after="140"/>
      </w:pPr>
      <w:r>
        <w:t xml:space="preserve">The reliability and validation methodology, including the pre-registered analysis plan, the choice of coefficient, and the acceptance floors applied in Section 5.3, was designed by Ubayet Hossain, FRM. Specifying those criteria before any data were examined is what allows the results in this paper to be read as tests rather than as descriptions.</w:t>
      </w:r>
    </w:p>
    <w:p>
      <w:pPr>
        <w:spacing w:after="140"/>
      </w:pPr>
      <w:r>
        <w:t xml:space="preserve">We thank the international reviewer panel for their care and independent judgment. Reviewers are recognized as named contributors with their consent; they are not co-authors of this paper. The argument developed in Section 2.1, that a record must remain understandable to the person it describes and that linguistic and jurisdictional range strengthens review, originated in conversations with panel reviewer Gabriela Cortez (Maryland Commission on Civil Rights) and is credited to her with permission. The proportionality principle described in Section 3 was surfaced by pilot reviewer Saurabh Nanda, General Manager and APAC Business Leader (Align Technology), and is credited with his permission.</w:t>
      </w:r>
    </w:p>
    <w:p>
      <w:pPr>
        <w:pStyle w:val="Heading2"/>
        <w:spacing w:after="140"/>
      </w:pPr>
      <w:r>
        <w:t xml:space="preserve">Data availability and pre-registration</w:t>
      </w:r>
    </w:p>
    <w:p>
      <w:pPr>
        <w:spacing w:after="140"/>
      </w:pPr>
      <w:r>
        <w:t xml:space="preserve">The study protocol and analysis plan are pre-registered. Constructed records, the verified answer key and its verification packet, and aggregate results are available to reviewers under the study's data-availability terms. Live participation is tracked on an aggregate dashboard showing counts only, never individual answers.</w:t>
      </w:r>
    </w:p>
    <w:p>
      <w:pPr>
        <w:pStyle w:val="Heading2"/>
        <w:spacing w:after="140"/>
      </w:pPr>
      <w:r>
        <w:t xml:space="preserve">Progress log</w:t>
      </w:r>
    </w:p>
    <w:p>
      <w:pPr>
        <w:numPr>
          <w:ilvl w:val="0"/>
          <w:numId w:val="1"/>
        </w:numPr>
        <w:spacing w:after="60"/>
      </w:pPr>
      <w:r>
        <w:t xml:space="preserve">2026-08-02b: </w:t>
      </w:r>
      <w:r>
        <w:rPr>
          <w:b/>
        </w:rPr>
        <w:t xml:space="preserve">Byline returned to two authors.</w:t>
      </w:r>
      <w:r>
        <w:t xml:space="preserve"> Gabriela Cortez is credited as a named panel reviewer and as the origin of the Section 2.1 argument in the Acknowledgments, at her preference; she is not a co-author at this time. Section 2.1 is retained in the paper's voice. The dual-role disclosure is removed as no longer applicable.</w:t>
      </w:r>
    </w:p>
    <w:p>
      <w:pPr>
        <w:numPr>
          <w:ilvl w:val="0"/>
          <w:numId w:val="1"/>
        </w:numPr>
        <w:spacing w:after="60"/>
      </w:pPr>
      <w:r>
        <w:t xml:space="preserve">2026-08-05 (later): </w:t>
      </w:r>
      <w:r>
        <w:rPr>
          <w:b/>
        </w:rPr>
        <w:t xml:space="preserve">Section 5.4 moved to Appendix A, and the panel's contribution accentuated throughout.</w:t>
      </w:r>
      <w:r>
        <w:t xml:space="preserve"> The pooled expert detection analysis now sits in </w:t>
      </w:r>
      <w:r>
        <w:rPr>
          <w:b/>
        </w:rPr>
        <w:t xml:space="preserve">Appendix A</w:t>
      </w:r>
      <w:r>
        <w:t xml:space="preserve"> with a standing note that it combines groups which were not randomized against one another and carries no causal reading; Section 5.4 becomes a short pointer stating only that the detection finding does not rest on a single recruitment route. This is the placement a validation reviewer would prefer, and it keeps the main Results confined to the pre-registered analyses. Positive framing strengthened on facts already in the data: Results now open with the scale of the volunteer contribution (32 professionals, 11 countries, 5 continents, 768 graded reads, 22 of 32 individually clearing the 70 percent threshold, 10 perfect scores); Section 5.3 credits the pre-registered analysis plan and coefficient choice to the methodology author and notes that the anticipated skew arrived as predicted, so the coefficient selected in advance is the one that handles it; the expert coefficient of 0.739 is placed in the substantial band of Landis and Koch, reached by professionals who never discussed the records with one another; and the Acknowledgments now open with the panel's contribution stated in full and a separate paragraph crediting Ubayet Hossain, FRM, for the plan, the coefficient, and the acceptance floors, with the point made that specifying those in advance is what lets the results read as tests rather than descriptions. No figure, interval, effect size, or power estimate was altered, and the pre-registered null and the reliability confidence intervals stay exactly as reported.</w:t>
      </w:r>
    </w:p>
    <w:p>
      <w:pPr>
        <w:numPr>
          <w:ilvl w:val="0"/>
          <w:numId w:val="1"/>
        </w:numPr>
        <w:spacing w:after="60"/>
      </w:pPr>
      <w:r>
        <w:t xml:space="preserve">2026-08-05 (later): </w:t>
      </w:r>
      <w:r>
        <w:rPr>
          <w:b/>
        </w:rPr>
        <w:t xml:space="preserve">Reliability section rebuilt from the pre-registered script, with confidence intervals.</w:t>
      </w:r>
      <w:r>
        <w:t xml:space="preserve"> The raw-agreement figures added earlier in the day came from an ad hoc pooled-pairs calculation and did not match </w:t>
      </w:r>
      <w:r>
        <w:rPr>
          <w:rFonts w:ascii="Consolas" w:hAnsi="Consolas"/>
        </w:rPr>
        <w:t xml:space="preserve">compute_ac1_ci.py</w:t>
      </w:r>
      <w:r>
        <w:t xml:space="preserve">, which implements the pre-registered Gwet definition (per-record pairwise agreement averaged across records). Corrected to the script's values: experts raw 80.0 percent, trained 71.5 percent. AC1 point estimates are unchanged at 0.739 and 0.624. Confidence intervals are now reported for the first time, analytic and bootstrap, together with the secondary coefficients. </w:t>
      </w:r>
      <w:r>
        <w:rPr>
          <w:b/>
        </w:rPr>
        <w:t xml:space="preserve">Stated plainly in the paper: both point estimates clear the 0.61 floor, and neither clears the plan's secondary lower-bound criterion of 0.41 on the analytic interval</w:t>
      </w:r>
      <w:r>
        <w:t xml:space="preserve"> (experts 0.402, on the boundary, and passing at 0.427 on the bootstrap interval; trained 0.253, failing on both). This is a consequence of estimating from 10 records against a target of about 26 and is presented as such rather than omitted.</w:t>
      </w:r>
    </w:p>
    <w:p>
      <w:pPr>
        <w:numPr>
          <w:ilvl w:val="0"/>
          <w:numId w:val="1"/>
        </w:numPr>
        <w:spacing w:after="60"/>
      </w:pPr>
      <w:r>
        <w:t xml:space="preserve">2026-08-05: </w:t>
      </w:r>
      <w:r>
        <w:rPr>
          <w:b/>
        </w:rPr>
        <w:t xml:space="preserve">Reframed around the expert composition of both arms, without changing any figure or the null.</w:t>
      </w:r>
      <w:r>
        <w:t xml:space="preserve"> Three substantive additions. (1) New Section 5.4 pools every reviewer who applied the five conditions, the panel plus the randomized standard arm, giving 81.3 percent across 21 reviewers and 504 graded reads (95 percent CI 71.8 to 90.9), which clears the pre-registered threshold on a base drawn through two independent recruitment routes; the subsection states in terms that this is a detection estimate and not a comparison, because those groups were not randomized against one another. (2) New Section 6.2 states that the unaided arm is a strong control rather than a weak one: those reviewers are experienced professionals who reached 69.3 percent with no method, above chance in their own right, and six of eleven met the 70 percent threshold unaided, so the instrument is being asked to improve on competent judgment that is already working, with roughly 30 points of headroom available. (3) Limitations corrected and extended: the previous text asserted that the panel and the comparison arms differ in expertise, which is not accurate, since all participants in both arms are experienced professionals and "JRS-naive" denotes no prior exposure to the method; the confound that remains is recruitment route and self-selection, not expertise, and the arms still cannot be compared causally. A design note was added recording that both randomized arms were drawn from the same expert pool, which bounds what the trial can show, and that the informative next trial varies reviewer experience rather than adding more experts to both arms. No accuracy figure, confidence interval, effect size, or power estimate was altered, and the pre-registered null stands as reported.</w:t>
      </w:r>
    </w:p>
    <w:p>
      <w:pPr>
        <w:numPr>
          <w:ilvl w:val="0"/>
          <w:numId w:val="1"/>
        </w:numPr>
        <w:spacing w:after="60"/>
      </w:pPr>
      <w:r>
        <w:t xml:space="preserve">2026-08-04: </w:t>
      </w:r>
      <w:r>
        <w:rPr>
          <w:b/>
        </w:rPr>
        <w:t xml:space="preserve">Refreshed against the live database.</w:t>
      </w:r>
      <w:r>
        <w:t xml:space="preserve"> All figures in this draft were recomputed from the study database on 4 August 2026 using the pre-registered scoring rule (latest submission per reviewer and record, scored against the fixed key, participants with at least 24 graded reads). Changes from the 2 August version: the panel grew from 15 to </w:t>
      </w:r>
      <w:r>
        <w:rPr>
          <w:b/>
        </w:rPr>
        <w:t xml:space="preserve">16 completers</w:t>
      </w:r>
      <w:r>
        <w:t xml:space="preserve"> and from 10 to </w:t>
      </w:r>
      <w:r>
        <w:rPr>
          <w:b/>
        </w:rPr>
        <w:t xml:space="preserve">11 countries</w:t>
      </w:r>
      <w:r>
        <w:t xml:space="preserve">, panel accuracy moved from 82.8 to </w:t>
      </w:r>
      <w:r>
        <w:rPr>
          <w:b/>
        </w:rPr>
        <w:t xml:space="preserve">83.9 percent</w:t>
      </w:r>
      <w:r>
        <w:t xml:space="preserve"> (participant-level CI 72.7 to 95.1, sensitivity 87.0, specificity 80.7, 384 graded reads); the unaided arm of the secondary comparison grew from 8 to </w:t>
      </w:r>
      <w:r>
        <w:rPr>
          <w:b/>
        </w:rPr>
        <w:t xml:space="preserve">11 completers</w:t>
      </w:r>
      <w:r>
        <w:t xml:space="preserve">, which moved its accuracy from 62.0 to 69.3 percent and </w:t>
      </w:r>
      <w:r>
        <w:rPr>
          <w:b/>
        </w:rPr>
        <w:t xml:space="preserve">narrowed the observed difference from +11.4 to +4.0 percentage points</w:t>
      </w:r>
      <w:r>
        <w:t xml:space="preserve"> (Cohen's d from 0.379 to 0.140, Welch t = 0.30 on 11.3 df, participant bootstrap CI -19.9 to +28.8). The required sample for a conclusive replication therefore rose from approximately 110 to approximately </w:t>
      </w:r>
      <w:r>
        <w:rPr>
          <w:b/>
        </w:rPr>
        <w:t xml:space="preserve">800 per condition</w:t>
      </w:r>
      <w:r>
        <w:t xml:space="preserve"> at 80 percent power. The direction of that movement is reported plainly because it matters: additional data made the secondary effect smaller, not larger, and the paper's conclusion about the comparison is unchanged only in the sense that it remains a null. Reliability was re-estimated on JRS-mode labels only and reproduced the prior values (experts AC1 0.739, trained 0.624, 10 records, 99 labels after de-duplication); the parenthetical raw-agreement figures were corrected to the mean pairwise values the current data produce (83 percent experts, 63 percent trained), replacing figures that could not be reproduced. Analysis script and the label extract are filed at </w:t>
      </w:r>
      <w:r>
        <w:rPr>
          <w:rFonts w:ascii="Consolas" w:hAnsi="Consolas"/>
        </w:rPr>
        <w:t xml:space="preserve">research/analysis_2026-08-04.py</w:t>
      </w:r>
      <w:r>
        <w:t xml:space="preserve"> and </w:t>
      </w:r>
      <w:r>
        <w:rPr>
          <w:rFonts w:ascii="Consolas" w:hAnsi="Consolas"/>
        </w:rPr>
        <w:t xml:space="preserve">research/reliability_labels_2026-08-04.tsv</w:t>
      </w:r>
      <w:r>
        <w:t xml:space="preserve">.</w:t>
      </w:r>
    </w:p>
    <w:p>
      <w:pPr>
        <w:numPr>
          <w:ilvl w:val="0"/>
          <w:numId w:val="1"/>
        </w:numPr>
        <w:spacing w:after="60"/>
      </w:pPr>
      <w:r>
        <w:t xml:space="preserve">2026-08-02: </w:t>
      </w:r>
      <w:r>
        <w:rPr>
          <w:b/>
        </w:rPr>
        <w:t xml:space="preserve">Restructured from the previous draft.</w:t>
      </w:r>
      <w:r>
        <w:t xml:space="preserve"> The paper is now primarily a detection study, with the expert-panel result as the headline finding (82.8 percent, participant-level CI 71.0 to 94.6, clears the pre-registered threshold on both criteria). The randomized comparison moves from co-primary to a clearly-labeled pre-registered secondary analysis (Section 6), reported in full as an underpowered null with the effect-size estimate and power specification attached. Gabriela Cortez reinstated as co-author with authorship of Section 2.1, which is expanded into a fuller treatment of accessibility as an accountability property and the methodological rationale for an internationally and linguistically diverse panel; dual-role disclosure added. Limitations gained an explicit statement that the expert panel and the randomized arms must not be compared, because that comparison confounds expertise with method. Unit of analysis moved to participant level throughout.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