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Documentation-Quality Read for Public-Records Determinations: Convergent, Construct, and Discriminant Evidence from 32 Real FOIL Cases</w:t>
      </w:r>
    </w:p>
    <w:p>
      <w:pPr>
        <w:spacing w:after="140"/>
      </w:pPr>
      <w:r>
        <w:rPr>
          <w:b/>
        </w:rPr>
        <w:t xml:space="preserve">Stacy Young</w:t>
      </w:r>
    </w:p>
    <w:p>
      <w:pPr>
        <w:spacing w:after="140"/>
      </w:pPr>
      <w:r>
        <w:t xml:space="preserve">Records Governance Advisor and Public-Records Domain Lead; Deputy Records Access Officer, New York City Department of Housing Preservation and Development</w:t>
      </w:r>
    </w:p>
    <w:p>
      <w:pPr>
        <w:spacing w:after="140"/>
      </w:pPr>
      <w:r>
        <w:rPr>
          <w:b/>
        </w:rPr>
        <w:t xml:space="preserve">Phillip Wikes</w:t>
      </w:r>
    </w:p>
    <w:p>
      <w:pPr>
        <w:spacing w:after="140"/>
      </w:pPr>
      <w:r>
        <w:t xml:space="preserve">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 in a personal professional capacity. The views expressed are their own and do not represent the position of any employer or institution.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w:t>
      </w:r>
    </w:p>
    <w:p>
      <w:pPr>
        <w:spacing w:after="140"/>
      </w:pPr>
      <w:r>
        <w:t xml:space="preserve">The pilot contributes a working protocol for measuring documentation quality in a public-records programme, a completed and citable 32-case set, and evidence that the read measures the property it claims to measure.</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2"/>
        </w:numPr>
        <w:spacing w:after="60"/>
      </w:pPr>
      <w:r>
        <w:t xml:space="preserve">Can the review conditions be applied to real public-records material across document classes and jurisdictions, and do they produce a full range of reads?</w:t>
      </w:r>
    </w:p>
    <w:p>
      <w:pPr>
        <w:numPr>
          <w:ilvl w:val="0"/>
          <w:numId w:val="2"/>
        </w:numPr>
        <w:spacing w:after="60"/>
      </w:pPr>
      <w:r>
        <w:t xml:space="preserve">Where an independent adjudicator has assessed the sufficiency of the same records, does the read agree?</w:t>
      </w:r>
    </w:p>
    <w:p>
      <w:pPr>
        <w:numPr>
          <w:ilvl w:val="0"/>
          <w:numId w:val="2"/>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t xml:space="preserve">Public material only, de-identified as to any private individual, each case carrying a public citation or source URL. No internal, confidential, or agency-privileged material was used.</w:t>
      </w:r>
    </w:p>
    <w:p>
      <w:pPr>
        <w:pStyle w:val="Heading3"/>
        <w:spacing w:after="140"/>
      </w:pPr>
      <w:r>
        <w:t xml:space="preserve">4.3 Sample</w:t>
      </w:r>
    </w:p>
    <w:p>
      <w:pPr>
        <w:spacing w:after="140"/>
      </w:pPr>
      <w:r>
        <w:t xml:space="preserve">The pre-registered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Four analyses, in the order reported.</w:t>
      </w:r>
    </w:p>
    <w:p>
      <w:pPr>
        <w:spacing w:after="140"/>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reads were recorded by a single domain reviewer, so no inter-rater agreement is estimated. Section 7 treats that as a limitation.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live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pStyle w:val="Heading3"/>
        <w:spacing w:after="140"/>
      </w:pPr>
      <w:r>
        <w:t xml:space="preserve">5.3 The read tracks reconstructability, not outcome</w:t>
      </w:r>
    </w:p>
    <w:p>
      <w:pPr>
        <w:spacing w:after="140"/>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9)</w:t>
            </w:r>
          </w:p>
        </w:tc>
        <w:tc>
          <w:tcPr>
            <w:tcW w:w="2340" w:type="dxa"/>
          </w:tcPr>
          <w:p>
            <w:pPr>
              <w:spacing w:after="0"/>
            </w:pPr>
            <w:r>
              <w:t xml:space="preserve">6</w:t>
            </w:r>
          </w:p>
        </w:tc>
        <w:tc>
          <w:tcPr>
            <w:tcW w:w="2340" w:type="dxa"/>
          </w:tcPr>
          <w:p>
            <w:pPr>
              <w:spacing w:after="0"/>
            </w:pPr>
            <w:r>
              <w:t xml:space="preserve">3</w:t>
            </w:r>
          </w:p>
        </w:tc>
        <w:tc>
          <w:tcPr>
            <w:tcW w:w="2340" w:type="dxa"/>
          </w:tcPr>
          <w:p>
            <w:pPr>
              <w:spacing w:after="0"/>
            </w:pPr>
            <w:r>
              <w:t xml:space="preserve">66.7%</w:t>
            </w:r>
          </w:p>
        </w:tc>
      </w:tr>
      <w:tr>
        <w:tc>
          <w:tcPr>
            <w:tcW w:w="2340" w:type="dxa"/>
          </w:tcPr>
          <w:p>
            <w:pPr>
              <w:spacing w:after="0"/>
            </w:pPr>
            <w:r>
              <w:t xml:space="preserve">Ready (n = 18)</w:t>
            </w:r>
          </w:p>
        </w:tc>
        <w:tc>
          <w:tcPr>
            <w:tcW w:w="2340" w:type="dxa"/>
          </w:tcPr>
          <w:p>
            <w:pPr>
              <w:spacing w:after="0"/>
            </w:pPr>
            <w:r>
              <w:t xml:space="preserve">0</w:t>
            </w:r>
          </w:p>
        </w:tc>
        <w:tc>
          <w:tcPr>
            <w:tcW w:w="2340" w:type="dxa"/>
          </w:tcPr>
          <w:p>
            <w:pPr>
              <w:spacing w:after="0"/>
            </w:pPr>
            <w:r>
              <w:t xml:space="preserve">18</w:t>
            </w:r>
          </w:p>
        </w:tc>
        <w:tc>
          <w:tcPr>
            <w:tcW w:w="2340" w:type="dxa"/>
          </w:tcPr>
          <w:p>
            <w:pPr>
              <w:spacing w:after="0"/>
            </w:pPr>
            <w:r>
              <w:t xml:space="preserve">0.0%</w:t>
            </w:r>
          </w:p>
        </w:tc>
      </w:tr>
    </w:tbl>
    <w:p>
      <w:pPr/>
      <w:r>
        <w:t/>
      </w:r>
    </w:p>
    <w:p>
      <w:pPr>
        <w:spacing w:after="140"/>
      </w:pPr>
      <w:r>
        <w:t xml:space="preserve">Fisher's exact test, two-sided: p = 0.00028.</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2"/>
        <w:spacing w:after="140"/>
      </w:pPr>
      <w:r>
        <w:t xml:space="preserve">6. Discussion</w:t>
      </w:r>
    </w:p>
    <w:p>
      <w:pPr>
        <w:spacing w:after="140"/>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An agency can adopt new review software and, in parallel, sample its own determinations for reconstructability, catching the case where better tooling produces fluent but unreconstructable records.</w:t>
      </w:r>
    </w:p>
    <w:p>
      <w:pPr>
        <w:spacing w:after="140"/>
      </w:pPr>
      <w:r>
        <w:t xml:space="preserve">For records officers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audit finding is the outcome variable the read demonstrably agrees with,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